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099D4" w14:textId="500BF6F8" w:rsidR="0005105C" w:rsidRPr="0005105C" w:rsidRDefault="4E57A53B" w:rsidP="0005105C">
      <w:pPr>
        <w:pStyle w:val="Title"/>
        <w:tabs>
          <w:tab w:val="left" w:pos="7845"/>
        </w:tabs>
        <w:jc w:val="center"/>
        <w:rPr>
          <w:rFonts w:ascii="Calibri" w:hAnsi="Calibri" w:cs="Calibri"/>
          <w:sz w:val="28"/>
          <w:szCs w:val="28"/>
          <w:lang w:val="en-US"/>
        </w:rPr>
      </w:pPr>
      <w:r w:rsidRPr="0005105C">
        <w:rPr>
          <w:rFonts w:ascii="Calibri" w:hAnsi="Calibri" w:cs="Calibri"/>
          <w:sz w:val="28"/>
          <w:szCs w:val="28"/>
          <w:lang w:val="en-US"/>
        </w:rPr>
        <w:t>JOB TITLE</w:t>
      </w:r>
      <w:r w:rsidR="0005105C" w:rsidRPr="0005105C">
        <w:rPr>
          <w:rFonts w:ascii="Calibri" w:hAnsi="Calibri" w:cs="Calibri"/>
          <w:sz w:val="28"/>
          <w:szCs w:val="28"/>
          <w:lang w:val="en-US"/>
        </w:rPr>
        <w:t xml:space="preserve">: </w:t>
      </w:r>
      <w:r w:rsidR="005C11CE">
        <w:rPr>
          <w:rFonts w:ascii="Calibri" w:hAnsi="Calibri" w:cs="Calibri"/>
          <w:sz w:val="28"/>
          <w:szCs w:val="28"/>
          <w:lang w:val="en-US"/>
        </w:rPr>
        <w:t>REGIONAL DIRECTOR ASIA</w:t>
      </w:r>
    </w:p>
    <w:p w14:paraId="4CAD09A3" w14:textId="2CDFD7DE" w:rsidR="004731C9" w:rsidRPr="00C07510" w:rsidRDefault="004731C9" w:rsidP="269179F9">
      <w:pPr>
        <w:pStyle w:val="Title"/>
        <w:tabs>
          <w:tab w:val="left" w:pos="7845"/>
        </w:tabs>
        <w:jc w:val="center"/>
        <w:rPr>
          <w:rFonts w:ascii="Calibri" w:hAnsi="Calibri" w:cs="Calibri"/>
          <w:i/>
          <w:iCs/>
          <w:caps w:val="0"/>
          <w:smallCaps/>
          <w:color w:val="FF0000"/>
          <w:sz w:val="22"/>
          <w:szCs w:val="22"/>
          <w:lang w:val="en-US"/>
        </w:rPr>
      </w:pPr>
    </w:p>
    <w:tbl>
      <w:tblPr>
        <w:tblStyle w:val="TableGrid"/>
        <w:tblW w:w="10201" w:type="dxa"/>
        <w:tblLook w:val="04A0" w:firstRow="1" w:lastRow="0" w:firstColumn="1" w:lastColumn="0" w:noHBand="0" w:noVBand="1"/>
      </w:tblPr>
      <w:tblGrid>
        <w:gridCol w:w="3719"/>
        <w:gridCol w:w="6482"/>
      </w:tblGrid>
      <w:tr w:rsidR="00F733BA" w:rsidRPr="00C07510" w14:paraId="60A160A9" w14:textId="77777777" w:rsidTr="00F733BA">
        <w:trPr>
          <w:trHeight w:val="506"/>
        </w:trPr>
        <w:tc>
          <w:tcPr>
            <w:tcW w:w="10201" w:type="dxa"/>
            <w:gridSpan w:val="2"/>
            <w:shd w:val="clear" w:color="auto" w:fill="92D050"/>
          </w:tcPr>
          <w:p w14:paraId="6AC9F3F8" w14:textId="6307332D" w:rsidR="00F733BA" w:rsidRPr="00C07510" w:rsidRDefault="00F733BA" w:rsidP="00F733BA">
            <w:pPr>
              <w:pStyle w:val="Heading1"/>
              <w:spacing w:before="60" w:after="120"/>
              <w:outlineLvl w:val="0"/>
              <w:rPr>
                <w:rFonts w:ascii="Calibri" w:hAnsi="Calibri" w:cs="Calibri"/>
                <w:b w:val="0"/>
                <w:bCs w:val="0"/>
                <w:sz w:val="22"/>
              </w:rPr>
            </w:pPr>
            <w:r w:rsidRPr="00F733BA">
              <w:rPr>
                <w:rFonts w:ascii="Calibri" w:hAnsi="Calibri" w:cs="Calibri"/>
                <w:lang w:eastAsia="en-US"/>
              </w:rPr>
              <w:t>JOB DETAILS</w:t>
            </w:r>
          </w:p>
        </w:tc>
      </w:tr>
      <w:tr w:rsidR="006C39E6" w:rsidRPr="00C07510" w14:paraId="4D782FB1" w14:textId="77777777" w:rsidTr="3137E2BA">
        <w:trPr>
          <w:trHeight w:val="709"/>
        </w:trPr>
        <w:tc>
          <w:tcPr>
            <w:tcW w:w="3539" w:type="dxa"/>
          </w:tcPr>
          <w:p w14:paraId="4B6251EA" w14:textId="578E5664" w:rsidR="006C39E6" w:rsidRPr="00C07510" w:rsidRDefault="006C39E6" w:rsidP="000D79DF">
            <w:pPr>
              <w:spacing w:before="60" w:after="120"/>
              <w:rPr>
                <w:rFonts w:ascii="Calibri" w:hAnsi="Calibri" w:cs="Calibri"/>
                <w:b/>
                <w:bCs/>
                <w:sz w:val="22"/>
                <w:szCs w:val="22"/>
              </w:rPr>
            </w:pPr>
            <w:r w:rsidRPr="00C07510">
              <w:rPr>
                <w:rFonts w:ascii="Calibri" w:hAnsi="Calibri" w:cs="Calibri"/>
                <w:b/>
                <w:bCs/>
                <w:sz w:val="22"/>
                <w:szCs w:val="22"/>
              </w:rPr>
              <w:t>LOCATION:</w:t>
            </w:r>
            <w:r w:rsidR="00D617AB">
              <w:t xml:space="preserve"> Any country where Oxfam has an office or presence in Asia</w:t>
            </w:r>
            <w:r w:rsidR="00D617AB">
              <w:br/>
            </w:r>
          </w:p>
        </w:tc>
        <w:tc>
          <w:tcPr>
            <w:tcW w:w="6662" w:type="dxa"/>
          </w:tcPr>
          <w:p w14:paraId="20787A27" w14:textId="0312CBF9" w:rsidR="006C39E6" w:rsidRDefault="000D79DF" w:rsidP="000D79DF">
            <w:pPr>
              <w:spacing w:before="60" w:after="120"/>
              <w:rPr>
                <w:rFonts w:ascii="Calibri" w:hAnsi="Calibri" w:cs="Calibri"/>
                <w:b/>
                <w:bCs/>
                <w:color w:val="FF0000"/>
                <w:sz w:val="22"/>
                <w:szCs w:val="22"/>
              </w:rPr>
            </w:pPr>
            <w:r w:rsidRPr="00C07510">
              <w:rPr>
                <w:rFonts w:ascii="Calibri" w:hAnsi="Calibri" w:cs="Calibri"/>
                <w:b/>
                <w:bCs/>
                <w:sz w:val="22"/>
                <w:szCs w:val="22"/>
              </w:rPr>
              <w:t xml:space="preserve">CONTRACT TYPE: </w:t>
            </w:r>
            <w:r w:rsidR="00CF1EFD">
              <w:rPr>
                <w:rFonts w:ascii="Calibri" w:hAnsi="Calibri" w:cs="Calibri"/>
                <w:color w:val="000000" w:themeColor="text1"/>
                <w:sz w:val="22"/>
                <w:szCs w:val="22"/>
              </w:rPr>
              <w:t xml:space="preserve"> </w:t>
            </w:r>
            <w:r w:rsidR="00562D59" w:rsidRPr="00F71E28">
              <w:t>Fixed Term, 4 years</w:t>
            </w:r>
          </w:p>
          <w:p w14:paraId="15ED58E6" w14:textId="0181109C" w:rsidR="003B6788" w:rsidRPr="00C07510" w:rsidRDefault="003B6788" w:rsidP="000D79DF">
            <w:pPr>
              <w:spacing w:before="60" w:after="120"/>
              <w:rPr>
                <w:rFonts w:ascii="Calibri" w:hAnsi="Calibri" w:cs="Calibri"/>
                <w:sz w:val="22"/>
                <w:szCs w:val="22"/>
              </w:rPr>
            </w:pPr>
          </w:p>
        </w:tc>
      </w:tr>
      <w:tr w:rsidR="006C39E6" w:rsidRPr="00C07510" w14:paraId="21DD1D07" w14:textId="77777777" w:rsidTr="3137E2BA">
        <w:trPr>
          <w:trHeight w:val="709"/>
        </w:trPr>
        <w:tc>
          <w:tcPr>
            <w:tcW w:w="3539" w:type="dxa"/>
          </w:tcPr>
          <w:p w14:paraId="714E8F79" w14:textId="77777777" w:rsidR="00B01D56" w:rsidRDefault="00C07510" w:rsidP="000D79DF">
            <w:pPr>
              <w:tabs>
                <w:tab w:val="left" w:pos="3630"/>
              </w:tabs>
              <w:spacing w:before="60" w:after="120"/>
              <w:rPr>
                <w:rFonts w:ascii="Calibri" w:hAnsi="Calibri" w:cs="Calibri"/>
                <w:b/>
                <w:bCs/>
                <w:sz w:val="22"/>
                <w:szCs w:val="22"/>
              </w:rPr>
            </w:pPr>
            <w:r>
              <w:rPr>
                <w:rFonts w:ascii="Calibri" w:hAnsi="Calibri" w:cs="Calibri"/>
                <w:b/>
                <w:bCs/>
                <w:sz w:val="22"/>
                <w:szCs w:val="22"/>
              </w:rPr>
              <w:t xml:space="preserve">INTERNAL JOB </w:t>
            </w:r>
            <w:r w:rsidR="006C39E6" w:rsidRPr="00C07510">
              <w:rPr>
                <w:rFonts w:ascii="Calibri" w:hAnsi="Calibri" w:cs="Calibri"/>
                <w:b/>
                <w:bCs/>
                <w:sz w:val="22"/>
                <w:szCs w:val="22"/>
              </w:rPr>
              <w:t xml:space="preserve">GRADE: </w:t>
            </w:r>
          </w:p>
          <w:p w14:paraId="16CA85BA" w14:textId="27C5251D" w:rsidR="006C39E6" w:rsidRPr="00C7252F" w:rsidRDefault="00D617AB" w:rsidP="000D79DF">
            <w:pPr>
              <w:tabs>
                <w:tab w:val="left" w:pos="3630"/>
              </w:tabs>
              <w:spacing w:before="60" w:after="120"/>
              <w:rPr>
                <w:rFonts w:ascii="Calibri" w:hAnsi="Calibri" w:cs="Calibri"/>
                <w:bCs/>
                <w:sz w:val="22"/>
                <w:szCs w:val="22"/>
              </w:rPr>
            </w:pPr>
            <w:r w:rsidRPr="005C11CE">
              <w:rPr>
                <w:rFonts w:ascii="Calibri" w:hAnsi="Calibri" w:cs="Calibri"/>
                <w:iCs/>
                <w:sz w:val="22"/>
                <w:szCs w:val="22"/>
              </w:rPr>
              <w:t>A</w:t>
            </w:r>
            <w:r w:rsidR="00523700" w:rsidRPr="00C7252F">
              <w:rPr>
                <w:rFonts w:ascii="Calibri" w:hAnsi="Calibri" w:cs="Calibri"/>
                <w:iCs/>
                <w:color w:val="FF0000"/>
                <w:sz w:val="22"/>
                <w:szCs w:val="22"/>
              </w:rPr>
              <w:tab/>
            </w:r>
          </w:p>
        </w:tc>
        <w:tc>
          <w:tcPr>
            <w:tcW w:w="6662" w:type="dxa"/>
          </w:tcPr>
          <w:p w14:paraId="2393B7DB" w14:textId="77777777" w:rsidR="006C39E6" w:rsidRDefault="00C07510" w:rsidP="000D79DF">
            <w:pPr>
              <w:spacing w:before="60" w:after="120"/>
              <w:rPr>
                <w:rFonts w:ascii="Calibri" w:hAnsi="Calibri" w:cs="Calibri"/>
                <w:b/>
                <w:bCs/>
                <w:sz w:val="22"/>
                <w:szCs w:val="22"/>
              </w:rPr>
            </w:pPr>
            <w:r>
              <w:rPr>
                <w:rFonts w:ascii="Calibri" w:hAnsi="Calibri" w:cs="Calibri"/>
                <w:b/>
                <w:bCs/>
                <w:sz w:val="22"/>
                <w:szCs w:val="22"/>
              </w:rPr>
              <w:t>DEPARTMENT and TEAM</w:t>
            </w:r>
          </w:p>
          <w:p w14:paraId="7278DDAD" w14:textId="6A0685B2" w:rsidR="003B6788" w:rsidRPr="00C07510" w:rsidRDefault="00A9111C" w:rsidP="000D79DF">
            <w:pPr>
              <w:spacing w:before="60" w:after="120"/>
              <w:rPr>
                <w:rFonts w:ascii="Calibri" w:hAnsi="Calibri" w:cs="Calibri"/>
                <w:i/>
                <w:iCs/>
                <w:color w:val="FF0000"/>
                <w:sz w:val="22"/>
                <w:szCs w:val="22"/>
              </w:rPr>
            </w:pPr>
            <w:r w:rsidRPr="00CA5679">
              <w:rPr>
                <w:bCs/>
              </w:rPr>
              <w:t xml:space="preserve">Global Programs Department, </w:t>
            </w:r>
            <w:r w:rsidR="00B33964">
              <w:rPr>
                <w:bCs/>
                <w:color w:val="171717" w:themeColor="background2" w:themeShade="1A"/>
              </w:rPr>
              <w:t>Asia Regional Platform</w:t>
            </w:r>
          </w:p>
        </w:tc>
      </w:tr>
      <w:tr w:rsidR="006C39E6" w:rsidRPr="00C07510" w14:paraId="1B263806" w14:textId="77777777" w:rsidTr="3137E2BA">
        <w:trPr>
          <w:trHeight w:val="709"/>
        </w:trPr>
        <w:tc>
          <w:tcPr>
            <w:tcW w:w="3539" w:type="dxa"/>
          </w:tcPr>
          <w:p w14:paraId="3AAF4DAA" w14:textId="34CDB20F" w:rsidR="006C39E6" w:rsidRPr="00C07510" w:rsidRDefault="006C39E6" w:rsidP="000D79DF">
            <w:pPr>
              <w:spacing w:before="60" w:after="120"/>
              <w:rPr>
                <w:rFonts w:ascii="Calibri" w:hAnsi="Calibri" w:cs="Calibri"/>
                <w:b/>
                <w:bCs/>
                <w:sz w:val="22"/>
                <w:szCs w:val="22"/>
              </w:rPr>
            </w:pPr>
            <w:r w:rsidRPr="00C07510">
              <w:rPr>
                <w:rFonts w:ascii="Calibri" w:hAnsi="Calibri" w:cs="Calibri"/>
                <w:b/>
                <w:bCs/>
                <w:sz w:val="22"/>
                <w:szCs w:val="22"/>
              </w:rPr>
              <w:t xml:space="preserve">SALARY: </w:t>
            </w:r>
            <w:r w:rsidR="00C07510" w:rsidRPr="004E58B5">
              <w:rPr>
                <w:b/>
                <w:bCs/>
              </w:rPr>
              <w:t xml:space="preserve"> </w:t>
            </w:r>
            <w:r w:rsidR="004E58B5" w:rsidRPr="004E58B5">
              <w:rPr>
                <w:shd w:val="clear" w:color="auto" w:fill="FFFFFF"/>
              </w:rPr>
              <w:t>In line with Oxfam international’s pay range. Core benefits. Global benefits for internationally relocated candidates only. Accompanied position</w:t>
            </w:r>
          </w:p>
        </w:tc>
        <w:tc>
          <w:tcPr>
            <w:tcW w:w="6662" w:type="dxa"/>
          </w:tcPr>
          <w:p w14:paraId="64A98DD7" w14:textId="77777777" w:rsidR="003B6788" w:rsidRDefault="006C39E6" w:rsidP="007609DB">
            <w:pPr>
              <w:spacing w:before="60" w:after="120"/>
              <w:rPr>
                <w:rFonts w:ascii="Calibri" w:hAnsi="Calibri" w:cs="Calibri"/>
                <w:b/>
                <w:bCs/>
                <w:sz w:val="22"/>
                <w:szCs w:val="22"/>
              </w:rPr>
            </w:pPr>
            <w:r w:rsidRPr="00C07510">
              <w:rPr>
                <w:rFonts w:ascii="Calibri" w:hAnsi="Calibri" w:cs="Calibri"/>
                <w:b/>
                <w:bCs/>
                <w:sz w:val="22"/>
                <w:szCs w:val="22"/>
              </w:rPr>
              <w:t>HOURS</w:t>
            </w:r>
            <w:r w:rsidR="000B71F6">
              <w:rPr>
                <w:rFonts w:ascii="Calibri" w:hAnsi="Calibri" w:cs="Calibri"/>
                <w:b/>
                <w:bCs/>
                <w:sz w:val="22"/>
                <w:szCs w:val="22"/>
              </w:rPr>
              <w:t xml:space="preserve"> (FTE)</w:t>
            </w:r>
            <w:r w:rsidR="00796B2D">
              <w:rPr>
                <w:rFonts w:ascii="Calibri" w:hAnsi="Calibri" w:cs="Calibri"/>
                <w:b/>
                <w:bCs/>
                <w:sz w:val="22"/>
                <w:szCs w:val="22"/>
              </w:rPr>
              <w:t xml:space="preserve"> </w:t>
            </w:r>
          </w:p>
          <w:p w14:paraId="72434E78" w14:textId="5FABFF5D" w:rsidR="005A295F" w:rsidRPr="004E58B5" w:rsidRDefault="004E58B5" w:rsidP="007609DB">
            <w:pPr>
              <w:spacing w:before="60" w:after="120"/>
            </w:pPr>
            <w:r w:rsidRPr="004E58B5">
              <w:t>Subject to Location</w:t>
            </w:r>
          </w:p>
        </w:tc>
      </w:tr>
      <w:tr w:rsidR="006C39E6" w:rsidRPr="00C07510" w14:paraId="6886D2F0" w14:textId="77777777" w:rsidTr="3137E2BA">
        <w:trPr>
          <w:trHeight w:val="1050"/>
        </w:trPr>
        <w:tc>
          <w:tcPr>
            <w:tcW w:w="10201" w:type="dxa"/>
            <w:gridSpan w:val="2"/>
          </w:tcPr>
          <w:p w14:paraId="10311384" w14:textId="6AFF9FA5" w:rsidR="006C39E6" w:rsidRPr="00E00931" w:rsidRDefault="006C39E6" w:rsidP="000D79DF">
            <w:pPr>
              <w:spacing w:before="60" w:after="120"/>
              <w:rPr>
                <w:rFonts w:asciiTheme="minorHAnsi" w:hAnsiTheme="minorHAnsi" w:cstheme="minorHAnsi"/>
                <w:i/>
                <w:iCs/>
                <w:sz w:val="22"/>
                <w:szCs w:val="22"/>
              </w:rPr>
            </w:pPr>
            <w:r w:rsidRPr="00E00931">
              <w:rPr>
                <w:rFonts w:asciiTheme="minorHAnsi" w:hAnsiTheme="minorHAnsi" w:cstheme="minorHAnsi"/>
                <w:b/>
                <w:bCs/>
                <w:sz w:val="22"/>
                <w:szCs w:val="22"/>
              </w:rPr>
              <w:t>FLEXIBLE WORKING</w:t>
            </w:r>
            <w:r w:rsidRPr="00E00931">
              <w:rPr>
                <w:rFonts w:asciiTheme="minorHAnsi" w:hAnsiTheme="minorHAnsi" w:cstheme="minorHAnsi"/>
                <w:i/>
                <w:iCs/>
                <w:sz w:val="22"/>
                <w:szCs w:val="22"/>
              </w:rPr>
              <w:t xml:space="preserve"> </w:t>
            </w:r>
          </w:p>
          <w:p w14:paraId="45C66E6B" w14:textId="0D17E7F2" w:rsidR="006C39E6" w:rsidRPr="00E00931" w:rsidRDefault="00C07510" w:rsidP="4E57A53B">
            <w:pPr>
              <w:spacing w:before="60" w:after="120"/>
              <w:rPr>
                <w:rFonts w:asciiTheme="minorHAnsi" w:hAnsiTheme="minorHAnsi" w:cstheme="minorHAnsi"/>
                <w:i/>
                <w:iCs/>
                <w:strike/>
                <w:sz w:val="22"/>
                <w:szCs w:val="22"/>
              </w:rPr>
            </w:pPr>
            <w:r w:rsidRPr="00E00931">
              <w:rPr>
                <w:rFonts w:asciiTheme="minorHAnsi" w:eastAsia="Times New Roman" w:hAnsiTheme="minorHAnsi" w:cstheme="minorHAnsi"/>
                <w:i/>
                <w:iCs/>
                <w:sz w:val="22"/>
                <w:szCs w:val="22"/>
              </w:rPr>
              <w:t xml:space="preserve">‘We believe flexible working is key to building the Secretariat of the future, so we’re open to talking through the type of flexible arrangements which might work for you. We think this role would work particularly well as a </w:t>
            </w:r>
            <w:r w:rsidR="003B6788" w:rsidRPr="00E00931">
              <w:rPr>
                <w:rFonts w:asciiTheme="minorHAnsi" w:eastAsia="Times New Roman" w:hAnsiTheme="minorHAnsi" w:cstheme="minorHAnsi"/>
                <w:i/>
                <w:iCs/>
                <w:sz w:val="22"/>
                <w:szCs w:val="22"/>
              </w:rPr>
              <w:t>as fully or partially home based</w:t>
            </w:r>
            <w:r w:rsidR="0066793E" w:rsidRPr="00E00931">
              <w:rPr>
                <w:rFonts w:asciiTheme="minorHAnsi" w:eastAsia="Times New Roman" w:hAnsiTheme="minorHAnsi" w:cstheme="minorHAnsi"/>
                <w:i/>
                <w:iCs/>
                <w:sz w:val="22"/>
                <w:szCs w:val="22"/>
              </w:rPr>
              <w:t>’</w:t>
            </w:r>
            <w:r w:rsidR="00C51CAB" w:rsidRPr="00E00931">
              <w:rPr>
                <w:rFonts w:asciiTheme="minorHAnsi" w:eastAsia="Times New Roman" w:hAnsiTheme="minorHAnsi" w:cstheme="minorHAnsi"/>
                <w:i/>
                <w:iCs/>
                <w:sz w:val="22"/>
                <w:szCs w:val="22"/>
              </w:rPr>
              <w:t>.</w:t>
            </w:r>
          </w:p>
        </w:tc>
      </w:tr>
      <w:tr w:rsidR="00C07510" w:rsidRPr="00C07510" w14:paraId="0D51D18C" w14:textId="77777777" w:rsidTr="3137E2BA">
        <w:trPr>
          <w:trHeight w:val="1050"/>
        </w:trPr>
        <w:tc>
          <w:tcPr>
            <w:tcW w:w="10201" w:type="dxa"/>
            <w:gridSpan w:val="2"/>
          </w:tcPr>
          <w:p w14:paraId="50685D5F" w14:textId="77777777" w:rsidR="00C07510" w:rsidRPr="00E00931" w:rsidRDefault="00C07510" w:rsidP="00C07510">
            <w:pPr>
              <w:spacing w:before="60" w:after="120"/>
              <w:rPr>
                <w:rFonts w:asciiTheme="minorHAnsi" w:hAnsiTheme="minorHAnsi" w:cstheme="minorHAnsi"/>
                <w:b/>
                <w:bCs/>
                <w:sz w:val="22"/>
                <w:szCs w:val="22"/>
              </w:rPr>
            </w:pPr>
            <w:r w:rsidRPr="00E00931">
              <w:rPr>
                <w:rFonts w:asciiTheme="minorHAnsi" w:hAnsiTheme="minorHAnsi" w:cstheme="minorHAnsi"/>
                <w:b/>
                <w:bCs/>
                <w:sz w:val="22"/>
                <w:szCs w:val="22"/>
              </w:rPr>
              <w:t xml:space="preserve">COMMITMENT TO DIVERSITY AND INCLUSION </w:t>
            </w:r>
          </w:p>
          <w:p w14:paraId="48AC1942" w14:textId="1B5438D7" w:rsidR="00C07510" w:rsidRPr="00E00931" w:rsidRDefault="00C07510" w:rsidP="00C07510">
            <w:pPr>
              <w:rPr>
                <w:rFonts w:asciiTheme="minorHAnsi" w:eastAsia="Times New Roman" w:hAnsiTheme="minorHAnsi" w:cstheme="minorHAnsi"/>
                <w:b/>
                <w:bCs/>
                <w:sz w:val="22"/>
                <w:szCs w:val="22"/>
              </w:rPr>
            </w:pPr>
            <w:r w:rsidRPr="00E00931">
              <w:rPr>
                <w:rFonts w:asciiTheme="minorHAnsi" w:hAnsiTheme="minorHAnsi" w:cstheme="minorHAnsi"/>
                <w:sz w:val="22"/>
                <w:szCs w:val="22"/>
              </w:rPr>
              <w:t>We are committed to ensuring diversity and gender equality within our organization.</w:t>
            </w:r>
          </w:p>
        </w:tc>
      </w:tr>
      <w:tr w:rsidR="0032131B" w:rsidRPr="00C07510" w14:paraId="22F359D1" w14:textId="77777777" w:rsidTr="3137E2BA">
        <w:trPr>
          <w:trHeight w:val="1050"/>
        </w:trPr>
        <w:tc>
          <w:tcPr>
            <w:tcW w:w="10201" w:type="dxa"/>
            <w:gridSpan w:val="2"/>
          </w:tcPr>
          <w:p w14:paraId="162CFC13" w14:textId="6316DB8A" w:rsidR="00FD1A37" w:rsidRPr="00E00931" w:rsidRDefault="00C07510" w:rsidP="003B6788">
            <w:pPr>
              <w:jc w:val="both"/>
              <w:rPr>
                <w:rFonts w:asciiTheme="minorHAnsi" w:hAnsiTheme="minorHAnsi" w:cstheme="minorHAnsi"/>
                <w:color w:val="000000" w:themeColor="text1"/>
                <w:sz w:val="22"/>
                <w:szCs w:val="22"/>
              </w:rPr>
            </w:pPr>
            <w:r w:rsidRPr="00E00931">
              <w:rPr>
                <w:rFonts w:asciiTheme="minorHAnsi" w:hAnsiTheme="minorHAnsi" w:cstheme="minorHAnsi"/>
                <w:b/>
                <w:bCs/>
                <w:color w:val="000000" w:themeColor="text1"/>
                <w:sz w:val="22"/>
                <w:szCs w:val="22"/>
              </w:rPr>
              <w:t>DEPARTMENT</w:t>
            </w:r>
            <w:r w:rsidR="1EC4A510" w:rsidRPr="00E00931">
              <w:rPr>
                <w:rFonts w:asciiTheme="minorHAnsi" w:hAnsiTheme="minorHAnsi" w:cstheme="minorHAnsi"/>
                <w:b/>
                <w:bCs/>
                <w:color w:val="000000" w:themeColor="text1"/>
                <w:sz w:val="22"/>
                <w:szCs w:val="22"/>
              </w:rPr>
              <w:t xml:space="preserve"> PURPOSE:</w:t>
            </w:r>
            <w:r w:rsidR="00902D73" w:rsidRPr="00E00931">
              <w:rPr>
                <w:rFonts w:asciiTheme="minorHAnsi" w:hAnsiTheme="minorHAnsi" w:cstheme="minorHAnsi"/>
                <w:b/>
                <w:bCs/>
                <w:color w:val="000000" w:themeColor="text1"/>
                <w:sz w:val="22"/>
                <w:szCs w:val="22"/>
              </w:rPr>
              <w:t xml:space="preserve"> </w:t>
            </w:r>
          </w:p>
          <w:p w14:paraId="7BF6DF21" w14:textId="36529B4A" w:rsidR="005145A7" w:rsidRPr="00E00931" w:rsidRDefault="005145A7" w:rsidP="005145A7">
            <w:pPr>
              <w:spacing w:before="60" w:after="120"/>
              <w:rPr>
                <w:rFonts w:asciiTheme="minorHAnsi" w:hAnsiTheme="minorHAnsi" w:cstheme="minorHAnsi"/>
                <w:sz w:val="22"/>
                <w:szCs w:val="22"/>
              </w:rPr>
            </w:pPr>
            <w:r w:rsidRPr="00E00931">
              <w:rPr>
                <w:rFonts w:asciiTheme="minorHAnsi" w:hAnsiTheme="minorHAnsi" w:cstheme="minorHAnsi"/>
                <w:sz w:val="22"/>
                <w:szCs w:val="22"/>
              </w:rPr>
              <w:t>The strategic purpose of the Global Programs department is to • Lead on Oxfam´s programming worldwide, ensuring One Program and nexus approach, influencing and humanitarian capacity in Countries and Regions • Network our evidence and knowledge for impact • Ensure institutional funding strategy and coordination • Support countries and regions in programme quality, safe programming, change management, security, and crisis management • Facilitate coordination and planning between the different actors in the diversified network to ensure maximum income, influence, and impact of Oxfam´s programs • Lead on 2030 model and presence transitions in countries and regions • Line manage Oxfam’s countries and regions</w:t>
            </w:r>
          </w:p>
          <w:p w14:paraId="1A1C487E" w14:textId="77777777" w:rsidR="005145A7" w:rsidRPr="00E00931" w:rsidRDefault="005145A7" w:rsidP="005145A7">
            <w:pPr>
              <w:spacing w:before="60" w:after="120"/>
              <w:rPr>
                <w:rFonts w:asciiTheme="minorHAnsi" w:hAnsiTheme="minorHAnsi" w:cstheme="minorHAnsi"/>
                <w:sz w:val="22"/>
                <w:szCs w:val="22"/>
              </w:rPr>
            </w:pPr>
          </w:p>
          <w:p w14:paraId="2CFAD16C" w14:textId="32C2F619" w:rsidR="0032131B" w:rsidRPr="00E00931" w:rsidRDefault="00796B2D" w:rsidP="3137E2BA">
            <w:pPr>
              <w:spacing w:before="60" w:after="120"/>
              <w:rPr>
                <w:rFonts w:asciiTheme="minorHAnsi" w:hAnsiTheme="minorHAnsi" w:cstheme="minorHAnsi"/>
                <w:b/>
                <w:bCs/>
                <w:color w:val="000000" w:themeColor="text1"/>
                <w:sz w:val="22"/>
                <w:szCs w:val="22"/>
              </w:rPr>
            </w:pPr>
            <w:r w:rsidRPr="00E00931">
              <w:rPr>
                <w:rFonts w:asciiTheme="minorHAnsi" w:hAnsiTheme="minorHAnsi" w:cstheme="minorHAnsi"/>
                <w:b/>
                <w:bCs/>
                <w:color w:val="000000" w:themeColor="text1"/>
                <w:sz w:val="22"/>
                <w:szCs w:val="22"/>
              </w:rPr>
              <w:t>TEAM PURPOSE:</w:t>
            </w:r>
          </w:p>
          <w:p w14:paraId="4DF921DB" w14:textId="77777777" w:rsidR="000E6640" w:rsidRPr="00E00931" w:rsidRDefault="000E6640" w:rsidP="000E6640">
            <w:pPr>
              <w:spacing w:before="100" w:beforeAutospacing="1" w:after="165" w:line="240" w:lineRule="auto"/>
              <w:rPr>
                <w:rFonts w:asciiTheme="minorHAnsi" w:eastAsia="Arial" w:hAnsiTheme="minorHAnsi" w:cstheme="minorHAnsi"/>
                <w:sz w:val="22"/>
                <w:szCs w:val="22"/>
              </w:rPr>
            </w:pPr>
            <w:r w:rsidRPr="00E00931">
              <w:rPr>
                <w:rFonts w:asciiTheme="minorHAnsi" w:eastAsia="Arial" w:hAnsiTheme="minorHAnsi" w:cstheme="minorHAnsi"/>
                <w:sz w:val="22"/>
                <w:szCs w:val="22"/>
              </w:rPr>
              <w:t xml:space="preserve">Oxfam has undergone a period of transformational change towards a more interdependent network. In Asia, the regional strategy is future-oriented and driven by a transformative approach to partnership; knowledge, learning and thought leadership; and innovation. Oxfam contributes to the creation of an inclusive, sustainable, and resilient Asia region by addressing issues of economic, gender and climate justice, race and vulnerability to different disaster risks including the Covid-19 pandemic. Oxfam in Asia’s partnership portfolio includes local, </w:t>
            </w:r>
            <w:proofErr w:type="gramStart"/>
            <w:r w:rsidRPr="00E00931">
              <w:rPr>
                <w:rFonts w:asciiTheme="minorHAnsi" w:eastAsia="Arial" w:hAnsiTheme="minorHAnsi" w:cstheme="minorHAnsi"/>
                <w:sz w:val="22"/>
                <w:szCs w:val="22"/>
              </w:rPr>
              <w:t>national</w:t>
            </w:r>
            <w:proofErr w:type="gramEnd"/>
            <w:r w:rsidRPr="00E00931">
              <w:rPr>
                <w:rFonts w:asciiTheme="minorHAnsi" w:eastAsia="Arial" w:hAnsiTheme="minorHAnsi" w:cstheme="minorHAnsi"/>
                <w:sz w:val="22"/>
                <w:szCs w:val="22"/>
              </w:rPr>
              <w:t xml:space="preserve"> and regional civil society organisations, gender and women’s rights organisation, the private sector, media, and academics. </w:t>
            </w:r>
          </w:p>
          <w:p w14:paraId="69949FEE" w14:textId="77777777" w:rsidR="000E6640" w:rsidRPr="00E00931" w:rsidRDefault="000E6640" w:rsidP="000E6640">
            <w:pPr>
              <w:spacing w:before="100" w:beforeAutospacing="1" w:after="165" w:line="240" w:lineRule="auto"/>
              <w:rPr>
                <w:rFonts w:asciiTheme="minorHAnsi" w:eastAsia="Arial" w:hAnsiTheme="minorHAnsi" w:cstheme="minorHAnsi"/>
                <w:sz w:val="22"/>
                <w:szCs w:val="22"/>
              </w:rPr>
            </w:pPr>
            <w:r w:rsidRPr="00E00931">
              <w:rPr>
                <w:rFonts w:asciiTheme="minorHAnsi" w:eastAsia="Arial" w:hAnsiTheme="minorHAnsi" w:cstheme="minorHAnsi"/>
                <w:sz w:val="22"/>
                <w:szCs w:val="22"/>
              </w:rPr>
              <w:t xml:space="preserve">In the immediate future, a feminist and climate-just recovery from the pandemic is the priority for Oxfam across Asia. A programme to address the digital divide which is also driving inequality in the region is being put in place. In Myanmar, we continue to work with civil society partners to respond to life-saving humanitarian </w:t>
            </w:r>
            <w:r w:rsidRPr="00E00931">
              <w:rPr>
                <w:rFonts w:asciiTheme="minorHAnsi" w:eastAsia="Arial" w:hAnsiTheme="minorHAnsi" w:cstheme="minorHAnsi"/>
                <w:sz w:val="22"/>
                <w:szCs w:val="22"/>
              </w:rPr>
              <w:lastRenderedPageBreak/>
              <w:t xml:space="preserve">needs and uphold rights.  In combination with country programmes, multi-country programmes </w:t>
            </w:r>
            <w:proofErr w:type="gramStart"/>
            <w:r w:rsidRPr="00E00931">
              <w:rPr>
                <w:rFonts w:asciiTheme="minorHAnsi" w:eastAsia="Arial" w:hAnsiTheme="minorHAnsi" w:cstheme="minorHAnsi"/>
                <w:sz w:val="22"/>
                <w:szCs w:val="22"/>
              </w:rPr>
              <w:t>is</w:t>
            </w:r>
            <w:proofErr w:type="gramEnd"/>
            <w:r w:rsidRPr="00E00931">
              <w:rPr>
                <w:rFonts w:asciiTheme="minorHAnsi" w:eastAsia="Arial" w:hAnsiTheme="minorHAnsi" w:cstheme="minorHAnsi"/>
                <w:sz w:val="22"/>
                <w:szCs w:val="22"/>
              </w:rPr>
              <w:t xml:space="preserve"> a growing component of the portfolio. </w:t>
            </w:r>
          </w:p>
          <w:p w14:paraId="05C85158" w14:textId="1730EE55" w:rsidR="000E6640" w:rsidRPr="00E00931" w:rsidRDefault="000E6640" w:rsidP="000E6640">
            <w:pPr>
              <w:spacing w:before="100" w:beforeAutospacing="1" w:after="165" w:line="240" w:lineRule="auto"/>
              <w:rPr>
                <w:rFonts w:asciiTheme="minorHAnsi" w:eastAsia="Arial" w:hAnsiTheme="minorHAnsi" w:cstheme="minorHAnsi"/>
                <w:sz w:val="22"/>
                <w:szCs w:val="22"/>
              </w:rPr>
            </w:pPr>
            <w:r w:rsidRPr="00E00931">
              <w:rPr>
                <w:rFonts w:asciiTheme="minorHAnsi" w:eastAsia="Arial" w:hAnsiTheme="minorHAnsi" w:cstheme="minorHAnsi"/>
                <w:sz w:val="22"/>
                <w:szCs w:val="22"/>
              </w:rPr>
              <w:t xml:space="preserve">In this context, Oxfam in Asia needs a leader who can successfully steer the organisation through the combined challenges of a rapidly changing external environment and internal transitions, and ensure that Oxfam grows from strength to strength, ensure its relevance and continuing fit for purpose, and realise its vision of empowering people living in poverty to fight for their rights to a better world. The Asia Regional Director will work with a Regional Leadership Team composed of the senior managers of the Asia Regional Platform and Country Directors, the Global Programme and Oxfam affiliates to create a stronger, sustainable, and accountable global confederation that delivers the systemic changes articulated in the Global Strategy Framework.  </w:t>
            </w:r>
          </w:p>
          <w:p w14:paraId="34368A36" w14:textId="2636CBF9" w:rsidR="000E6640" w:rsidRPr="00E00931" w:rsidRDefault="4CC9EB6D" w:rsidP="00D617AB">
            <w:pPr>
              <w:rPr>
                <w:rFonts w:asciiTheme="minorHAnsi" w:hAnsiTheme="minorHAnsi" w:cstheme="minorHAnsi"/>
                <w:sz w:val="22"/>
                <w:szCs w:val="22"/>
              </w:rPr>
            </w:pPr>
            <w:r w:rsidRPr="00E00931">
              <w:rPr>
                <w:rFonts w:asciiTheme="minorHAnsi" w:hAnsiTheme="minorHAnsi" w:cstheme="minorHAnsi"/>
                <w:b/>
                <w:bCs/>
                <w:color w:val="000000" w:themeColor="text1"/>
                <w:sz w:val="22"/>
                <w:szCs w:val="22"/>
              </w:rPr>
              <w:t xml:space="preserve">JOB PURPOSE: </w:t>
            </w:r>
            <w:bookmarkStart w:id="0" w:name="_Hlk46835338"/>
            <w:bookmarkStart w:id="1" w:name="_Hlk82075394"/>
            <w:r w:rsidR="000E6640" w:rsidRPr="00E00931">
              <w:rPr>
                <w:rFonts w:asciiTheme="minorHAnsi" w:hAnsiTheme="minorHAnsi" w:cstheme="minorHAnsi"/>
                <w:color w:val="000000" w:themeColor="text1"/>
                <w:sz w:val="22"/>
                <w:szCs w:val="22"/>
              </w:rPr>
              <w:t xml:space="preserve">To contribute to and implement Oxfam’s Global objectives and Strategy, by providing vision and strategic direction to all of Oxfam’s work in the Asia Region. This includes Oxfam’s humanitarian responses and the localisation of humanitarian leadership, long-term development programmes, </w:t>
            </w:r>
            <w:proofErr w:type="gramStart"/>
            <w:r w:rsidR="000E6640" w:rsidRPr="00E00931">
              <w:rPr>
                <w:rFonts w:asciiTheme="minorHAnsi" w:hAnsiTheme="minorHAnsi" w:cstheme="minorHAnsi"/>
                <w:color w:val="000000" w:themeColor="text1"/>
                <w:sz w:val="22"/>
                <w:szCs w:val="22"/>
              </w:rPr>
              <w:t>advocacy</w:t>
            </w:r>
            <w:proofErr w:type="gramEnd"/>
            <w:r w:rsidR="000E6640" w:rsidRPr="00E00931">
              <w:rPr>
                <w:rFonts w:asciiTheme="minorHAnsi" w:hAnsiTheme="minorHAnsi" w:cstheme="minorHAnsi"/>
                <w:color w:val="000000" w:themeColor="text1"/>
                <w:sz w:val="22"/>
                <w:szCs w:val="22"/>
              </w:rPr>
              <w:t xml:space="preserve"> and campaigns, and influencing. Responsible and accountable for the strategic direction and effective managerial oversight of the Asia Region, ensuring impact through innovation, programme and business development, continued improvement in programme quality and transformative partnership approaches, </w:t>
            </w:r>
            <w:proofErr w:type="gramStart"/>
            <w:r w:rsidR="000E6640" w:rsidRPr="00E00931">
              <w:rPr>
                <w:rFonts w:asciiTheme="minorHAnsi" w:hAnsiTheme="minorHAnsi" w:cstheme="minorHAnsi"/>
                <w:color w:val="000000" w:themeColor="text1"/>
                <w:sz w:val="22"/>
                <w:szCs w:val="22"/>
              </w:rPr>
              <w:t>knowledge</w:t>
            </w:r>
            <w:proofErr w:type="gramEnd"/>
            <w:r w:rsidR="000E6640" w:rsidRPr="00E00931">
              <w:rPr>
                <w:rFonts w:asciiTheme="minorHAnsi" w:hAnsiTheme="minorHAnsi" w:cstheme="minorHAnsi"/>
                <w:color w:val="000000" w:themeColor="text1"/>
                <w:sz w:val="22"/>
                <w:szCs w:val="22"/>
              </w:rPr>
              <w:t xml:space="preserve"> and learning, and thought leadership. Effective management of financial and human resources in line with Oxfam policy.</w:t>
            </w:r>
            <w:r w:rsidR="000E6640" w:rsidRPr="00E00931">
              <w:rPr>
                <w:rFonts w:asciiTheme="minorHAnsi" w:hAnsiTheme="minorHAnsi" w:cstheme="minorHAnsi"/>
                <w:b/>
                <w:bCs/>
                <w:color w:val="000000" w:themeColor="text1"/>
                <w:sz w:val="22"/>
                <w:szCs w:val="22"/>
              </w:rPr>
              <w:t xml:space="preserve"> </w:t>
            </w:r>
            <w:bookmarkEnd w:id="0"/>
            <w:r w:rsidR="00D617AB" w:rsidRPr="00E00931">
              <w:rPr>
                <w:rFonts w:asciiTheme="minorHAnsi" w:hAnsiTheme="minorHAnsi" w:cstheme="minorHAnsi"/>
                <w:sz w:val="22"/>
                <w:szCs w:val="22"/>
              </w:rPr>
              <w:t xml:space="preserve">Provide high-level support and representation for advocacy, fundraising and any other representational purposes in support Oxfam’s work and interests in the region, ensuring gender justice and feminist principles are adopted in the region. </w:t>
            </w:r>
            <w:r w:rsidR="000E6640" w:rsidRPr="00E00931">
              <w:rPr>
                <w:rFonts w:asciiTheme="minorHAnsi" w:hAnsiTheme="minorHAnsi" w:cstheme="minorHAnsi"/>
                <w:sz w:val="22"/>
                <w:szCs w:val="22"/>
              </w:rPr>
              <w:t xml:space="preserve">Management of approximately over 1,000 staff based over 14 countries. Oxfam is phasing out of five countries (Afghanistan, Pakistan, Sri Lanka, </w:t>
            </w:r>
            <w:proofErr w:type="gramStart"/>
            <w:r w:rsidR="000E6640" w:rsidRPr="00E00931">
              <w:rPr>
                <w:rFonts w:asciiTheme="minorHAnsi" w:hAnsiTheme="minorHAnsi" w:cstheme="minorHAnsi"/>
                <w:sz w:val="22"/>
                <w:szCs w:val="22"/>
              </w:rPr>
              <w:t>Tajikistan</w:t>
            </w:r>
            <w:proofErr w:type="gramEnd"/>
            <w:r w:rsidR="000E6640" w:rsidRPr="00E00931">
              <w:rPr>
                <w:rFonts w:asciiTheme="minorHAnsi" w:hAnsiTheme="minorHAnsi" w:cstheme="minorHAnsi"/>
                <w:sz w:val="22"/>
                <w:szCs w:val="22"/>
              </w:rPr>
              <w:t xml:space="preserve"> and Thailand). Prospective affiliates are being explored in Indonesia and the Philippines.</w:t>
            </w:r>
          </w:p>
          <w:bookmarkEnd w:id="1"/>
          <w:p w14:paraId="32B9F4DC" w14:textId="6D53A940" w:rsidR="0032131B" w:rsidRPr="00E00931" w:rsidRDefault="0032131B" w:rsidP="00CF1EFD">
            <w:pPr>
              <w:spacing w:before="60" w:after="120"/>
              <w:rPr>
                <w:rFonts w:asciiTheme="minorHAnsi" w:hAnsiTheme="minorHAnsi" w:cstheme="minorHAnsi"/>
                <w:b/>
                <w:bCs/>
                <w:color w:val="000000" w:themeColor="text1"/>
                <w:sz w:val="22"/>
                <w:szCs w:val="22"/>
              </w:rPr>
            </w:pPr>
          </w:p>
        </w:tc>
      </w:tr>
      <w:tr w:rsidR="004731C9" w:rsidRPr="00C07510" w14:paraId="0085D645" w14:textId="77777777" w:rsidTr="3137E2BA">
        <w:tc>
          <w:tcPr>
            <w:tcW w:w="3539" w:type="dxa"/>
          </w:tcPr>
          <w:p w14:paraId="1ED405BB" w14:textId="4A7B439A" w:rsidR="004731C9" w:rsidRPr="00E00931" w:rsidRDefault="00C07510" w:rsidP="000D79DF">
            <w:pPr>
              <w:spacing w:before="60" w:after="120"/>
              <w:rPr>
                <w:rFonts w:asciiTheme="minorHAnsi" w:hAnsiTheme="minorHAnsi" w:cstheme="minorHAnsi"/>
                <w:b/>
                <w:bCs/>
                <w:sz w:val="22"/>
                <w:szCs w:val="22"/>
              </w:rPr>
            </w:pPr>
            <w:r w:rsidRPr="00E00931">
              <w:rPr>
                <w:rFonts w:asciiTheme="minorHAnsi" w:hAnsiTheme="minorHAnsi" w:cstheme="minorHAnsi"/>
                <w:b/>
                <w:bCs/>
                <w:sz w:val="22"/>
                <w:szCs w:val="22"/>
              </w:rPr>
              <w:lastRenderedPageBreak/>
              <w:t>ROLE</w:t>
            </w:r>
            <w:r w:rsidR="004731C9" w:rsidRPr="00E00931">
              <w:rPr>
                <w:rFonts w:asciiTheme="minorHAnsi" w:hAnsiTheme="minorHAnsi" w:cstheme="minorHAnsi"/>
                <w:b/>
                <w:bCs/>
                <w:sz w:val="22"/>
                <w:szCs w:val="22"/>
              </w:rPr>
              <w:t xml:space="preserve"> REPORTS TO</w:t>
            </w:r>
          </w:p>
        </w:tc>
        <w:tc>
          <w:tcPr>
            <w:tcW w:w="6662" w:type="dxa"/>
          </w:tcPr>
          <w:p w14:paraId="46ECABC1" w14:textId="4A8BB5EC" w:rsidR="004731C9" w:rsidRPr="00E00931" w:rsidRDefault="00D617AB" w:rsidP="000D79DF">
            <w:pPr>
              <w:spacing w:before="60" w:after="120"/>
              <w:rPr>
                <w:rFonts w:asciiTheme="minorHAnsi" w:hAnsiTheme="minorHAnsi" w:cstheme="minorHAnsi"/>
                <w:sz w:val="22"/>
                <w:szCs w:val="22"/>
              </w:rPr>
            </w:pPr>
            <w:r w:rsidRPr="00E00931">
              <w:rPr>
                <w:rFonts w:asciiTheme="minorHAnsi" w:hAnsiTheme="minorHAnsi" w:cstheme="minorHAnsi"/>
                <w:sz w:val="22"/>
                <w:szCs w:val="22"/>
              </w:rPr>
              <w:t>Oxfam International Global Programs Director</w:t>
            </w:r>
          </w:p>
        </w:tc>
      </w:tr>
      <w:tr w:rsidR="004731C9" w:rsidRPr="00C07510" w14:paraId="1257F821" w14:textId="77777777" w:rsidTr="3137E2BA">
        <w:tc>
          <w:tcPr>
            <w:tcW w:w="3539" w:type="dxa"/>
          </w:tcPr>
          <w:p w14:paraId="2979CFA9" w14:textId="17CD0679" w:rsidR="004731C9" w:rsidRPr="00E00931" w:rsidRDefault="00C07510" w:rsidP="000D79DF">
            <w:pPr>
              <w:spacing w:before="60" w:after="120"/>
              <w:rPr>
                <w:rFonts w:asciiTheme="minorHAnsi" w:hAnsiTheme="minorHAnsi" w:cstheme="minorHAnsi"/>
                <w:b/>
                <w:bCs/>
                <w:sz w:val="22"/>
                <w:szCs w:val="22"/>
              </w:rPr>
            </w:pPr>
            <w:r w:rsidRPr="00E00931">
              <w:rPr>
                <w:rFonts w:asciiTheme="minorHAnsi" w:hAnsiTheme="minorHAnsi" w:cstheme="minorHAnsi"/>
                <w:b/>
                <w:bCs/>
                <w:sz w:val="22"/>
                <w:szCs w:val="22"/>
              </w:rPr>
              <w:t>ROLES</w:t>
            </w:r>
            <w:r w:rsidR="0695F69D" w:rsidRPr="00E00931">
              <w:rPr>
                <w:rFonts w:asciiTheme="minorHAnsi" w:hAnsiTheme="minorHAnsi" w:cstheme="minorHAnsi"/>
                <w:b/>
                <w:bCs/>
                <w:sz w:val="22"/>
                <w:szCs w:val="22"/>
              </w:rPr>
              <w:t xml:space="preserve"> REPORTING TO THIS POST</w:t>
            </w:r>
          </w:p>
        </w:tc>
        <w:tc>
          <w:tcPr>
            <w:tcW w:w="6662" w:type="dxa"/>
          </w:tcPr>
          <w:p w14:paraId="412061E2" w14:textId="0A190A67" w:rsidR="004731C9" w:rsidRPr="00E00931" w:rsidRDefault="00D617AB" w:rsidP="000D79DF">
            <w:pPr>
              <w:spacing w:before="60" w:after="120"/>
              <w:rPr>
                <w:rFonts w:asciiTheme="minorHAnsi" w:hAnsiTheme="minorHAnsi" w:cstheme="minorHAnsi"/>
                <w:color w:val="FF0000"/>
                <w:sz w:val="22"/>
                <w:szCs w:val="22"/>
              </w:rPr>
            </w:pPr>
            <w:r w:rsidRPr="00E00931">
              <w:rPr>
                <w:rFonts w:asciiTheme="minorHAnsi" w:hAnsiTheme="minorHAnsi" w:cstheme="minorHAnsi"/>
                <w:sz w:val="22"/>
                <w:szCs w:val="22"/>
              </w:rPr>
              <w:t>Country Directors</w:t>
            </w:r>
            <w:r w:rsidR="005A295F" w:rsidRPr="00E00931">
              <w:rPr>
                <w:rFonts w:asciiTheme="minorHAnsi" w:hAnsiTheme="minorHAnsi" w:cstheme="minorHAnsi"/>
                <w:sz w:val="22"/>
                <w:szCs w:val="22"/>
              </w:rPr>
              <w:t xml:space="preserve">, Cluster Director (Cambodia, </w:t>
            </w:r>
            <w:proofErr w:type="gramStart"/>
            <w:r w:rsidR="005A295F" w:rsidRPr="00E00931">
              <w:rPr>
                <w:rFonts w:asciiTheme="minorHAnsi" w:hAnsiTheme="minorHAnsi" w:cstheme="minorHAnsi"/>
                <w:sz w:val="22"/>
                <w:szCs w:val="22"/>
              </w:rPr>
              <w:t>Laos</w:t>
            </w:r>
            <w:proofErr w:type="gramEnd"/>
            <w:r w:rsidR="005A295F" w:rsidRPr="00E00931">
              <w:rPr>
                <w:rFonts w:asciiTheme="minorHAnsi" w:hAnsiTheme="minorHAnsi" w:cstheme="minorHAnsi"/>
                <w:sz w:val="22"/>
                <w:szCs w:val="22"/>
              </w:rPr>
              <w:t xml:space="preserve"> and Vietnam), and senior managers of the Asia Regional Platform: Head of Business Operations, Head of Strategy and Impact, Regional Change Manager. The number of Country Directors will reduce </w:t>
            </w:r>
            <w:proofErr w:type="gramStart"/>
            <w:r w:rsidR="005A295F" w:rsidRPr="00E00931">
              <w:rPr>
                <w:rFonts w:asciiTheme="minorHAnsi" w:hAnsiTheme="minorHAnsi" w:cstheme="minorHAnsi"/>
                <w:sz w:val="22"/>
                <w:szCs w:val="22"/>
              </w:rPr>
              <w:t>as a result of</w:t>
            </w:r>
            <w:proofErr w:type="gramEnd"/>
            <w:r w:rsidR="005A295F" w:rsidRPr="00E00931">
              <w:rPr>
                <w:rFonts w:asciiTheme="minorHAnsi" w:hAnsiTheme="minorHAnsi" w:cstheme="minorHAnsi"/>
                <w:sz w:val="22"/>
                <w:szCs w:val="22"/>
              </w:rPr>
              <w:t xml:space="preserve"> phaseouts from some countries.</w:t>
            </w:r>
          </w:p>
        </w:tc>
      </w:tr>
      <w:tr w:rsidR="004731C9" w:rsidRPr="00C07510" w14:paraId="2CEC67FB" w14:textId="77777777" w:rsidTr="3137E2BA">
        <w:tc>
          <w:tcPr>
            <w:tcW w:w="3539" w:type="dxa"/>
          </w:tcPr>
          <w:p w14:paraId="53D6BDB0" w14:textId="4F34D184" w:rsidR="004731C9" w:rsidRPr="00E00931" w:rsidRDefault="00C62E9C" w:rsidP="000D79DF">
            <w:pPr>
              <w:spacing w:before="60" w:after="120"/>
              <w:rPr>
                <w:rFonts w:asciiTheme="minorHAnsi" w:hAnsiTheme="minorHAnsi" w:cstheme="minorHAnsi"/>
                <w:sz w:val="22"/>
                <w:szCs w:val="22"/>
              </w:rPr>
            </w:pPr>
            <w:r w:rsidRPr="00E00931">
              <w:rPr>
                <w:rFonts w:asciiTheme="minorHAnsi" w:hAnsiTheme="minorHAnsi" w:cstheme="minorHAnsi"/>
                <w:sz w:val="22"/>
                <w:szCs w:val="22"/>
              </w:rPr>
              <w:t>BUDGET RESPONSIBILITY</w:t>
            </w:r>
            <w:r w:rsidR="0695F69D" w:rsidRPr="00E00931">
              <w:rPr>
                <w:rFonts w:asciiTheme="minorHAnsi" w:hAnsiTheme="minorHAnsi" w:cstheme="minorHAnsi"/>
                <w:sz w:val="22"/>
                <w:szCs w:val="22"/>
              </w:rPr>
              <w:t xml:space="preserve"> </w:t>
            </w:r>
          </w:p>
        </w:tc>
        <w:tc>
          <w:tcPr>
            <w:tcW w:w="6662" w:type="dxa"/>
          </w:tcPr>
          <w:p w14:paraId="7037EF83" w14:textId="31DE6657" w:rsidR="004731C9" w:rsidRPr="00E00931" w:rsidRDefault="00D617AB" w:rsidP="000D79DF">
            <w:pPr>
              <w:spacing w:before="60" w:after="120"/>
              <w:rPr>
                <w:rFonts w:asciiTheme="minorHAnsi" w:hAnsiTheme="minorHAnsi" w:cstheme="minorHAnsi"/>
                <w:sz w:val="22"/>
                <w:szCs w:val="22"/>
              </w:rPr>
            </w:pPr>
            <w:r w:rsidRPr="00E00931">
              <w:rPr>
                <w:rFonts w:asciiTheme="minorHAnsi" w:hAnsiTheme="minorHAnsi" w:cstheme="minorHAnsi"/>
                <w:sz w:val="22"/>
                <w:szCs w:val="22"/>
              </w:rPr>
              <w:t>Approximately 100m Euros, may vary depending on humanitarian response.</w:t>
            </w:r>
          </w:p>
        </w:tc>
      </w:tr>
      <w:tr w:rsidR="00F961DC" w:rsidRPr="00C07510" w14:paraId="19A464B4" w14:textId="77777777" w:rsidTr="3137E2BA">
        <w:tc>
          <w:tcPr>
            <w:tcW w:w="10201" w:type="dxa"/>
            <w:gridSpan w:val="2"/>
          </w:tcPr>
          <w:p w14:paraId="593B9EF6" w14:textId="09591C0B" w:rsidR="000B71F6" w:rsidRPr="00E00931" w:rsidRDefault="3A68A89C" w:rsidP="3A68A89C">
            <w:pPr>
              <w:spacing w:before="60" w:after="120"/>
              <w:rPr>
                <w:rFonts w:asciiTheme="minorHAnsi" w:hAnsiTheme="minorHAnsi" w:cstheme="minorHAnsi"/>
                <w:color w:val="FF0000"/>
                <w:sz w:val="22"/>
                <w:szCs w:val="22"/>
              </w:rPr>
            </w:pPr>
            <w:r w:rsidRPr="00E00931">
              <w:rPr>
                <w:rFonts w:asciiTheme="minorHAnsi" w:hAnsiTheme="minorHAnsi" w:cstheme="minorHAnsi"/>
                <w:b/>
                <w:bCs/>
                <w:sz w:val="22"/>
                <w:szCs w:val="22"/>
              </w:rPr>
              <w:t>KEY RESPONSIBILITIES</w:t>
            </w:r>
            <w:r w:rsidR="00A9111C" w:rsidRPr="00E00931">
              <w:rPr>
                <w:rFonts w:asciiTheme="minorHAnsi" w:hAnsiTheme="minorHAnsi" w:cstheme="minorHAnsi"/>
                <w:b/>
                <w:bCs/>
                <w:sz w:val="22"/>
                <w:szCs w:val="22"/>
              </w:rPr>
              <w:t xml:space="preserve"> AND ACCOUNTABILITIES</w:t>
            </w:r>
            <w:r w:rsidR="00C07510" w:rsidRPr="00E00931">
              <w:rPr>
                <w:rFonts w:asciiTheme="minorHAnsi" w:hAnsiTheme="minorHAnsi" w:cstheme="minorHAnsi"/>
                <w:b/>
                <w:bCs/>
                <w:sz w:val="22"/>
                <w:szCs w:val="22"/>
              </w:rPr>
              <w:t xml:space="preserve"> (Technical, Leadership, People and Resource management)</w:t>
            </w:r>
            <w:r w:rsidRPr="00E00931">
              <w:rPr>
                <w:rFonts w:asciiTheme="minorHAnsi" w:hAnsiTheme="minorHAnsi" w:cstheme="minorHAnsi"/>
                <w:color w:val="FF0000"/>
                <w:sz w:val="22"/>
                <w:szCs w:val="22"/>
              </w:rPr>
              <w:t xml:space="preserve"> </w:t>
            </w:r>
          </w:p>
          <w:p w14:paraId="73D11D39" w14:textId="5E5D54C3" w:rsidR="0005105C" w:rsidRPr="00E00931" w:rsidRDefault="0005105C" w:rsidP="0005105C">
            <w:pPr>
              <w:rPr>
                <w:rFonts w:asciiTheme="minorHAnsi" w:hAnsiTheme="minorHAnsi" w:cstheme="minorHAnsi"/>
                <w:sz w:val="22"/>
                <w:szCs w:val="22"/>
              </w:rPr>
            </w:pPr>
          </w:p>
          <w:p w14:paraId="4E75B90E" w14:textId="7DB0B9BA" w:rsidR="00A9111C" w:rsidRPr="00E00931" w:rsidRDefault="00A9111C" w:rsidP="00A9111C">
            <w:pPr>
              <w:pStyle w:val="Heading2"/>
              <w:keepLines w:val="0"/>
              <w:numPr>
                <w:ilvl w:val="0"/>
                <w:numId w:val="26"/>
              </w:numPr>
              <w:spacing w:before="360" w:after="180"/>
              <w:outlineLvl w:val="1"/>
              <w:rPr>
                <w:rFonts w:asciiTheme="minorHAnsi" w:eastAsia="Calibri" w:hAnsiTheme="minorHAnsi" w:cstheme="minorHAnsi"/>
                <w:b/>
                <w:bCs/>
                <w:iCs/>
                <w:color w:val="auto"/>
                <w:sz w:val="22"/>
                <w:szCs w:val="22"/>
              </w:rPr>
            </w:pPr>
            <w:r w:rsidRPr="00E00931">
              <w:rPr>
                <w:rFonts w:asciiTheme="minorHAnsi" w:eastAsia="Calibri" w:hAnsiTheme="minorHAnsi" w:cstheme="minorHAnsi"/>
                <w:color w:val="auto"/>
                <w:sz w:val="22"/>
                <w:szCs w:val="22"/>
              </w:rPr>
              <w:t>Accountable to the Oxfam International Global Programs Director for the leadership, delivery, effective management and monitoring, evaluation and learning of the programs in all countries within the Asia region, against Oxfam’s Strategic Framework (OSF), 2030 vision and achieving Oxfam standards.</w:t>
            </w:r>
          </w:p>
          <w:p w14:paraId="15492947" w14:textId="609130AB" w:rsidR="00A9111C" w:rsidRPr="00E00931" w:rsidRDefault="00A9111C" w:rsidP="00A9111C">
            <w:pPr>
              <w:pStyle w:val="ListParagraph"/>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Where applicable, remotely line manages geographically dispersed Country Directors within the region and manage other Asia regional staff, programs, budget, </w:t>
            </w:r>
            <w:proofErr w:type="gramStart"/>
            <w:r w:rsidRPr="00E00931">
              <w:rPr>
                <w:rFonts w:asciiTheme="minorHAnsi" w:hAnsiTheme="minorHAnsi" w:cstheme="minorHAnsi"/>
                <w:sz w:val="22"/>
                <w:szCs w:val="22"/>
              </w:rPr>
              <w:t>assets</w:t>
            </w:r>
            <w:proofErr w:type="gramEnd"/>
            <w:r w:rsidRPr="00E00931">
              <w:rPr>
                <w:rFonts w:asciiTheme="minorHAnsi" w:hAnsiTheme="minorHAnsi" w:cstheme="minorHAnsi"/>
                <w:sz w:val="22"/>
                <w:szCs w:val="22"/>
              </w:rPr>
              <w:t xml:space="preserve"> and funding. Note that internal regional management arrangements may change. </w:t>
            </w:r>
          </w:p>
          <w:p w14:paraId="32C13E71" w14:textId="77777777" w:rsidR="00A9111C" w:rsidRPr="00E00931" w:rsidRDefault="00A9111C" w:rsidP="00A9111C">
            <w:pPr>
              <w:pStyle w:val="ListParagraph"/>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Responsible for the management of an effective and efficient regional structure, including the direct line management of certain positions within that structure; ensures that the regional structure includes all the key functions needed in the Asia region and that it is supportive to the country programs and any possible regional programs in line with the regional platform mandate; </w:t>
            </w:r>
          </w:p>
          <w:p w14:paraId="3A8550FD" w14:textId="17F99B46" w:rsidR="00A9111C" w:rsidRPr="00E00931" w:rsidRDefault="00A9111C" w:rsidP="00A9111C">
            <w:pPr>
              <w:pStyle w:val="ListParagraph"/>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Provides vision and strategic leadership and guidance to the Country Directors of Oxfam’s programs and the Regional Leadership Team in the Asia Region, both directly and through relevant country</w:t>
            </w:r>
            <w:r w:rsidR="00B4241D" w:rsidRPr="00E00931">
              <w:rPr>
                <w:rFonts w:asciiTheme="minorHAnsi" w:hAnsiTheme="minorHAnsi" w:cstheme="minorHAnsi"/>
                <w:sz w:val="22"/>
                <w:szCs w:val="22"/>
              </w:rPr>
              <w:t xml:space="preserve">, </w:t>
            </w:r>
            <w:proofErr w:type="gramStart"/>
            <w:r w:rsidR="00B4241D" w:rsidRPr="00E00931">
              <w:rPr>
                <w:rFonts w:asciiTheme="minorHAnsi" w:hAnsiTheme="minorHAnsi" w:cstheme="minorHAnsi"/>
                <w:sz w:val="22"/>
                <w:szCs w:val="22"/>
              </w:rPr>
              <w:t>cluster</w:t>
            </w:r>
            <w:proofErr w:type="gramEnd"/>
            <w:r w:rsidRPr="00E00931">
              <w:rPr>
                <w:rFonts w:asciiTheme="minorHAnsi" w:hAnsiTheme="minorHAnsi" w:cstheme="minorHAnsi"/>
                <w:sz w:val="22"/>
                <w:szCs w:val="22"/>
              </w:rPr>
              <w:t xml:space="preserve"> and regional governance / oversight structures.</w:t>
            </w:r>
          </w:p>
          <w:p w14:paraId="2780CEE1"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Works closely with other Regional Directors, Oxfam International Secretariat, affiliates and other parts of the confederation involved with in the Region in a number of different ways to optimize resources, ensure synergies and maximize impact in the development and delivery of all Country and Regional Programs</w:t>
            </w:r>
          </w:p>
          <w:p w14:paraId="138D66D5"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Responsible for aligning the regional platform and Country Programs towards the Oxfam 2030 Vision and leading Oxfam through major transformational change. The RD will be responsible to lead and deliver significant change processes in the coming 1 – 2 years in line with the Executive Board Decisions.  </w:t>
            </w:r>
          </w:p>
          <w:p w14:paraId="32AEABBB"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Responsible in coordination with affiliates for approval of Oxfam Country Strategic plans, fundraising strategies and annual plans and budgets as well as developing and implementing the regional operational plan in line with the Oxfam Strategic Framework and Oxfam Asia Regional Strategy ensuring adequate downward and upward accountability including to relevant governance and oversight structures.</w:t>
            </w:r>
          </w:p>
          <w:p w14:paraId="71FF012B"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Represents Oxfam within the Asia region and globally. Working with internal and external audiences at the most senior level to influence and inform decision makers at the highest levels, and work collaboratively with leaders in Oxfam and externally, building alliances and networks. </w:t>
            </w:r>
          </w:p>
          <w:p w14:paraId="5EDCBF76"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Build strategic regional partnerships. Lead strategic partnership building based on our values and our feminist principles to transform unequal power relations. Ensures that Oxfam’s work in the region is adequately funded, including within Oxfam adequate resourcing for internal organizational priorities (HR, safeguarding, safe programming, security) and externally. Develop and facilitate the delivery of the Asia resources mobilization strategy by building relationships with affiliates and external donors, and proactively identify new donors for Oxfam’s work in the region including private sector.</w:t>
            </w:r>
          </w:p>
          <w:p w14:paraId="55AA00FC"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Ensures that countries take a One Program Approach in tackling poverty, </w:t>
            </w:r>
            <w:proofErr w:type="gramStart"/>
            <w:r w:rsidRPr="00E00931">
              <w:rPr>
                <w:rFonts w:asciiTheme="minorHAnsi" w:hAnsiTheme="minorHAnsi" w:cstheme="minorHAnsi"/>
                <w:sz w:val="22"/>
                <w:szCs w:val="22"/>
              </w:rPr>
              <w:t>injustice</w:t>
            </w:r>
            <w:proofErr w:type="gramEnd"/>
            <w:r w:rsidRPr="00E00931">
              <w:rPr>
                <w:rFonts w:asciiTheme="minorHAnsi" w:hAnsiTheme="minorHAnsi" w:cstheme="minorHAnsi"/>
                <w:sz w:val="22"/>
                <w:szCs w:val="22"/>
              </w:rPr>
              <w:t xml:space="preserve"> and inequality so that development, campaigning and humanitarian work is strategically aligned and balanced to maximize our impact and influence toward systemic change.</w:t>
            </w:r>
          </w:p>
          <w:p w14:paraId="75F4ABB2" w14:textId="1E7F38AC"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Responsible for the delivery of all Country and Regional Programs. Ensures that programs are of the highest quality and meet the required standards. Works with the Country Directors, affiliates and regional staff to ensure that quality standards are met in the country: for program, program management, Human Resources (including but not limited to the Code of Conduct), finance, security, health</w:t>
            </w:r>
            <w:r w:rsidR="00B4241D" w:rsidRPr="00E00931">
              <w:rPr>
                <w:rFonts w:asciiTheme="minorHAnsi" w:hAnsiTheme="minorHAnsi" w:cstheme="minorHAnsi"/>
                <w:sz w:val="22"/>
                <w:szCs w:val="22"/>
              </w:rPr>
              <w:t xml:space="preserve"> and safety, climate footprint,</w:t>
            </w:r>
            <w:r w:rsidRPr="00E00931">
              <w:rPr>
                <w:rFonts w:asciiTheme="minorHAnsi" w:hAnsiTheme="minorHAnsi" w:cstheme="minorHAnsi"/>
                <w:sz w:val="22"/>
                <w:szCs w:val="22"/>
              </w:rPr>
              <w:t xml:space="preserve"> etc. </w:t>
            </w:r>
          </w:p>
          <w:p w14:paraId="466BB7EF"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Ensures that programs are monitored and evaluated. Promotes sharing of learning with others and drawing on learning from across Oxfam and externally and utilizing the results to inform program decisions and enhance institutional knowledge. </w:t>
            </w:r>
          </w:p>
          <w:p w14:paraId="2D7C37CC"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Contributes to the overall leadership of Oxfam, as a member of the Global Program Management Team (GPMT) to ensure that the voice of the Region is effectively heard, and influences the direction of Oxfam though the contribution and leadership of the Region and organization-wide activities.</w:t>
            </w:r>
          </w:p>
          <w:p w14:paraId="11755D23"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 xml:space="preserve">Responsible for anticipating and managing risks that could threaten the organization’s reputation, operational </w:t>
            </w:r>
            <w:proofErr w:type="gramStart"/>
            <w:r w:rsidRPr="00E00931">
              <w:rPr>
                <w:rFonts w:asciiTheme="minorHAnsi" w:hAnsiTheme="minorHAnsi" w:cstheme="minorHAnsi"/>
                <w:sz w:val="22"/>
                <w:szCs w:val="22"/>
              </w:rPr>
              <w:t>viability</w:t>
            </w:r>
            <w:proofErr w:type="gramEnd"/>
            <w:r w:rsidRPr="00E00931">
              <w:rPr>
                <w:rFonts w:asciiTheme="minorHAnsi" w:hAnsiTheme="minorHAnsi" w:cstheme="minorHAnsi"/>
                <w:sz w:val="22"/>
                <w:szCs w:val="22"/>
              </w:rPr>
              <w:t xml:space="preserve"> and security. Responsible for managing security in line with Oxfam Policy. </w:t>
            </w:r>
          </w:p>
          <w:p w14:paraId="5E82BAE4"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Ensures Asia is fulfilling agreed standards in disaster preparedness, mitigation and management including humanitarian response activities as per Oxfam’s standards.</w:t>
            </w:r>
          </w:p>
          <w:p w14:paraId="584898FD" w14:textId="77777777" w:rsidR="00A9111C" w:rsidRPr="00E00931" w:rsidRDefault="00A9111C" w:rsidP="00A9111C">
            <w:pPr>
              <w:numPr>
                <w:ilvl w:val="0"/>
                <w:numId w:val="26"/>
              </w:numPr>
              <w:spacing w:after="100"/>
              <w:rPr>
                <w:rFonts w:asciiTheme="minorHAnsi" w:hAnsiTheme="minorHAnsi" w:cstheme="minorHAnsi"/>
                <w:sz w:val="22"/>
                <w:szCs w:val="22"/>
              </w:rPr>
            </w:pPr>
            <w:r w:rsidRPr="00E00931">
              <w:rPr>
                <w:rFonts w:asciiTheme="minorHAnsi" w:hAnsiTheme="minorHAnsi" w:cstheme="minorHAnsi"/>
                <w:sz w:val="22"/>
                <w:szCs w:val="22"/>
              </w:rPr>
              <w:t>Facilitates the provision of Shared Services to countries within the Region.</w:t>
            </w:r>
          </w:p>
          <w:p w14:paraId="74220BC8" w14:textId="77777777" w:rsidR="00A9111C" w:rsidRPr="00E00931" w:rsidRDefault="00A9111C" w:rsidP="00A9111C">
            <w:pPr>
              <w:pStyle w:val="CommentText"/>
              <w:numPr>
                <w:ilvl w:val="0"/>
                <w:numId w:val="26"/>
              </w:numPr>
              <w:rPr>
                <w:rFonts w:asciiTheme="minorHAnsi" w:hAnsiTheme="minorHAnsi" w:cstheme="minorHAnsi"/>
                <w:sz w:val="22"/>
                <w:szCs w:val="22"/>
              </w:rPr>
            </w:pPr>
            <w:r w:rsidRPr="00E00931">
              <w:rPr>
                <w:rFonts w:asciiTheme="minorHAnsi" w:hAnsiTheme="minorHAnsi" w:cstheme="minorHAnsi"/>
                <w:sz w:val="22"/>
                <w:szCs w:val="22"/>
              </w:rPr>
              <w:t xml:space="preserve">A commitment to gender justice and women’s rights, an understanding of gender power relations and strategies to address discrimination in all its forms, experience in the promotion of gender justice in humanitarian, development and/or situations of fragility etc.  </w:t>
            </w:r>
          </w:p>
          <w:p w14:paraId="765DE2B6" w14:textId="77777777" w:rsidR="0005105C" w:rsidRPr="00E00931" w:rsidRDefault="0005105C" w:rsidP="0005105C">
            <w:pPr>
              <w:pStyle w:val="ListParagraph"/>
              <w:rPr>
                <w:rFonts w:asciiTheme="minorHAnsi" w:hAnsiTheme="minorHAnsi" w:cstheme="minorHAnsi"/>
                <w:sz w:val="22"/>
                <w:szCs w:val="22"/>
              </w:rPr>
            </w:pPr>
          </w:p>
          <w:p w14:paraId="602229A4" w14:textId="4B171056" w:rsidR="00F961DC" w:rsidRPr="00E00931" w:rsidRDefault="00F961DC" w:rsidP="00B8666B">
            <w:pPr>
              <w:pStyle w:val="ListParagraph"/>
              <w:rPr>
                <w:rFonts w:asciiTheme="minorHAnsi" w:hAnsiTheme="minorHAnsi" w:cstheme="minorHAnsi"/>
                <w:color w:val="FF0000"/>
                <w:sz w:val="22"/>
                <w:szCs w:val="22"/>
              </w:rPr>
            </w:pPr>
          </w:p>
        </w:tc>
      </w:tr>
    </w:tbl>
    <w:p w14:paraId="418D4E16" w14:textId="51AAB0E6" w:rsidR="00F733BA" w:rsidRDefault="00F733BA" w:rsidP="000D79DF">
      <w:pPr>
        <w:spacing w:before="60" w:after="120"/>
        <w:rPr>
          <w:rFonts w:ascii="Calibri" w:hAnsi="Calibri" w:cs="Calibri"/>
          <w:b/>
          <w:bCs/>
          <w:sz w:val="22"/>
        </w:rPr>
      </w:pPr>
      <w:bookmarkStart w:id="2" w:name="_Hlk46585717"/>
      <w:bookmarkStart w:id="3" w:name="_Hlk46583022"/>
    </w:p>
    <w:tbl>
      <w:tblPr>
        <w:tblStyle w:val="TableGrid"/>
        <w:tblW w:w="0" w:type="auto"/>
        <w:tblLook w:val="04A0" w:firstRow="1" w:lastRow="0" w:firstColumn="1" w:lastColumn="0" w:noHBand="0" w:noVBand="1"/>
      </w:tblPr>
      <w:tblGrid>
        <w:gridCol w:w="10456"/>
      </w:tblGrid>
      <w:tr w:rsidR="00F733BA" w14:paraId="742AF0F2" w14:textId="77777777" w:rsidTr="00F733BA">
        <w:tc>
          <w:tcPr>
            <w:tcW w:w="10456" w:type="dxa"/>
            <w:shd w:val="clear" w:color="auto" w:fill="92D050"/>
          </w:tcPr>
          <w:p w14:paraId="1262D250" w14:textId="28F6FF16" w:rsidR="00F733BA" w:rsidRDefault="00F733BA" w:rsidP="00F733BA">
            <w:pPr>
              <w:pStyle w:val="Heading1"/>
              <w:spacing w:before="60" w:after="120"/>
              <w:outlineLvl w:val="0"/>
              <w:rPr>
                <w:rFonts w:ascii="Calibri" w:hAnsi="Calibri" w:cs="Calibri"/>
                <w:b w:val="0"/>
                <w:bCs w:val="0"/>
                <w:sz w:val="22"/>
              </w:rPr>
            </w:pPr>
            <w:r w:rsidRPr="00F733BA">
              <w:rPr>
                <w:rFonts w:ascii="Calibri" w:hAnsi="Calibri" w:cs="Calibri"/>
                <w:lang w:eastAsia="en-US"/>
              </w:rPr>
              <w:t>PERSON SPECIFICATION</w:t>
            </w:r>
          </w:p>
        </w:tc>
      </w:tr>
      <w:tr w:rsidR="00F733BA" w14:paraId="424C335F" w14:textId="77777777" w:rsidTr="00F733BA">
        <w:tc>
          <w:tcPr>
            <w:tcW w:w="10456" w:type="dxa"/>
          </w:tcPr>
          <w:p w14:paraId="59AF78AF" w14:textId="77777777" w:rsidR="00F733BA" w:rsidRPr="00C07510" w:rsidRDefault="00F733BA" w:rsidP="00F733BA">
            <w:pPr>
              <w:spacing w:before="60" w:after="120"/>
              <w:rPr>
                <w:rFonts w:ascii="Calibri" w:hAnsi="Calibri" w:cs="Calibri"/>
                <w:b/>
                <w:bCs/>
                <w:sz w:val="22"/>
              </w:rPr>
            </w:pPr>
            <w:r w:rsidRPr="00C07510">
              <w:rPr>
                <w:rFonts w:ascii="Calibri" w:hAnsi="Calibri" w:cs="Calibri"/>
                <w:b/>
                <w:bCs/>
                <w:sz w:val="22"/>
              </w:rPr>
              <w:t xml:space="preserve">Most importantly, every individual at Oxfam </w:t>
            </w:r>
            <w:r>
              <w:rPr>
                <w:rFonts w:ascii="Calibri" w:hAnsi="Calibri" w:cs="Calibri"/>
                <w:b/>
                <w:bCs/>
                <w:sz w:val="22"/>
              </w:rPr>
              <w:t>International Secretariat</w:t>
            </w:r>
            <w:r w:rsidRPr="00C07510">
              <w:rPr>
                <w:rFonts w:ascii="Calibri" w:hAnsi="Calibri" w:cs="Calibri"/>
                <w:b/>
                <w:bCs/>
                <w:sz w:val="22"/>
              </w:rPr>
              <w:t xml:space="preserve"> needs to be able to:</w:t>
            </w:r>
          </w:p>
          <w:p w14:paraId="73365752" w14:textId="5871D267" w:rsidR="00F733BA" w:rsidRPr="00F733BA" w:rsidRDefault="00F733BA" w:rsidP="00F733BA">
            <w:pPr>
              <w:pStyle w:val="ListParagraph"/>
              <w:numPr>
                <w:ilvl w:val="0"/>
                <w:numId w:val="6"/>
              </w:numPr>
              <w:spacing w:before="60" w:after="120"/>
              <w:rPr>
                <w:rFonts w:ascii="Calibri" w:hAnsi="Calibri" w:cs="Calibri"/>
                <w:b/>
                <w:bCs/>
                <w:color w:val="92D050"/>
                <w:sz w:val="22"/>
              </w:rPr>
            </w:pPr>
            <w:r w:rsidRPr="00C07510">
              <w:rPr>
                <w:rFonts w:ascii="Calibri" w:hAnsi="Calibri" w:cs="Calibri"/>
                <w:b/>
                <w:bCs/>
                <w:sz w:val="22"/>
              </w:rPr>
              <w:t xml:space="preserve">Live our values of </w:t>
            </w:r>
            <w:r w:rsidRPr="00C07510">
              <w:rPr>
                <w:rFonts w:ascii="Calibri" w:hAnsi="Calibri" w:cs="Calibri"/>
                <w:b/>
                <w:bCs/>
                <w:color w:val="92D050"/>
                <w:sz w:val="22"/>
              </w:rPr>
              <w:t>INCLUSION, ACCOUNTABILITY</w:t>
            </w:r>
            <w:r w:rsidR="00F56304">
              <w:rPr>
                <w:rFonts w:ascii="Calibri" w:hAnsi="Calibri" w:cs="Calibri"/>
                <w:b/>
                <w:bCs/>
                <w:color w:val="92D050"/>
                <w:sz w:val="22"/>
              </w:rPr>
              <w:t xml:space="preserve">, </w:t>
            </w:r>
            <w:r w:rsidRPr="00C07510">
              <w:rPr>
                <w:rFonts w:ascii="Calibri" w:hAnsi="Calibri" w:cs="Calibri"/>
                <w:b/>
                <w:bCs/>
                <w:color w:val="92D050"/>
                <w:sz w:val="22"/>
              </w:rPr>
              <w:t>EMPOWERMENT</w:t>
            </w:r>
            <w:r w:rsidR="00F56304">
              <w:rPr>
                <w:rFonts w:ascii="Calibri" w:hAnsi="Calibri" w:cs="Calibri"/>
                <w:b/>
                <w:bCs/>
                <w:color w:val="92D050"/>
                <w:sz w:val="22"/>
              </w:rPr>
              <w:t>, COURAGE, SOLIDARITY and EQUALITY</w:t>
            </w:r>
            <w:r w:rsidRPr="00C07510">
              <w:rPr>
                <w:rFonts w:ascii="Calibri" w:hAnsi="Calibri" w:cs="Calibri"/>
                <w:b/>
                <w:bCs/>
                <w:color w:val="92D050"/>
                <w:sz w:val="22"/>
              </w:rPr>
              <w:t xml:space="preserve"> </w:t>
            </w:r>
            <w:r w:rsidRPr="00C07510">
              <w:rPr>
                <w:rFonts w:ascii="Calibri" w:hAnsi="Calibri" w:cs="Calibri"/>
                <w:b/>
                <w:bCs/>
                <w:sz w:val="22"/>
              </w:rPr>
              <w:t xml:space="preserve">(read more about these </w:t>
            </w:r>
            <w:hyperlink r:id="rId8" w:history="1">
              <w:r w:rsidR="00F56304" w:rsidRPr="00F56304">
                <w:rPr>
                  <w:rStyle w:val="Hyperlink"/>
                  <w:rFonts w:ascii="Calibri" w:hAnsi="Calibri" w:cs="Calibri"/>
                  <w:b/>
                  <w:bCs/>
                  <w:sz w:val="22"/>
                </w:rPr>
                <w:t>here</w:t>
              </w:r>
            </w:hyperlink>
            <w:r w:rsidR="00F56304">
              <w:rPr>
                <w:rFonts w:ascii="Calibri" w:hAnsi="Calibri" w:cs="Calibri"/>
                <w:b/>
                <w:bCs/>
                <w:sz w:val="22"/>
              </w:rPr>
              <w:t>)</w:t>
            </w:r>
          </w:p>
          <w:p w14:paraId="2E6A625C" w14:textId="24FC041B" w:rsidR="00F733BA" w:rsidRPr="00F733BA" w:rsidRDefault="00F733BA" w:rsidP="00F733BA">
            <w:pPr>
              <w:pStyle w:val="ListParagraph"/>
              <w:numPr>
                <w:ilvl w:val="0"/>
                <w:numId w:val="6"/>
              </w:numPr>
              <w:spacing w:before="60" w:after="120"/>
              <w:rPr>
                <w:rFonts w:ascii="Calibri" w:hAnsi="Calibri" w:cs="Calibri"/>
                <w:b/>
                <w:bCs/>
                <w:color w:val="92D050"/>
                <w:sz w:val="22"/>
              </w:rPr>
            </w:pPr>
            <w:r w:rsidRPr="00F733BA">
              <w:rPr>
                <w:rFonts w:ascii="Calibri" w:hAnsi="Calibri" w:cs="Calibri"/>
                <w:b/>
                <w:bCs/>
                <w:sz w:val="22"/>
              </w:rPr>
              <w:t>Ensure you commit to our</w:t>
            </w:r>
            <w:r w:rsidRPr="00F733BA">
              <w:rPr>
                <w:rFonts w:ascii="Calibri" w:hAnsi="Calibri" w:cs="Calibri"/>
                <w:b/>
                <w:bCs/>
                <w:color w:val="92D050"/>
                <w:sz w:val="22"/>
              </w:rPr>
              <w:t xml:space="preserve"> ORGANIZATIONAL ATTRIBUTES </w:t>
            </w:r>
            <w:r w:rsidRPr="00F733BA">
              <w:rPr>
                <w:rFonts w:ascii="Calibri" w:hAnsi="Calibri" w:cs="Calibri"/>
                <w:b/>
                <w:bCs/>
                <w:sz w:val="22"/>
              </w:rPr>
              <w:t>(including adhering to the Code of Conduct):</w:t>
            </w:r>
          </w:p>
        </w:tc>
      </w:tr>
    </w:tbl>
    <w:p w14:paraId="1C514D16" w14:textId="77777777" w:rsidR="00F733BA" w:rsidRDefault="00F733BA" w:rsidP="000D79DF">
      <w:pPr>
        <w:spacing w:before="60" w:after="120"/>
        <w:rPr>
          <w:rFonts w:ascii="Calibri" w:hAnsi="Calibri" w:cs="Calibri"/>
          <w:b/>
          <w:bCs/>
          <w:sz w:val="22"/>
        </w:rPr>
      </w:pPr>
    </w:p>
    <w:p w14:paraId="7E8C8DC0" w14:textId="468BC689" w:rsidR="00E90B3B" w:rsidRPr="00312398" w:rsidRDefault="00F733BA" w:rsidP="00312398">
      <w:pPr>
        <w:tabs>
          <w:tab w:val="left" w:pos="2700"/>
        </w:tabs>
        <w:spacing w:before="60" w:after="120"/>
        <w:rPr>
          <w:rFonts w:ascii="Calibri" w:hAnsi="Calibri" w:cs="Calibri"/>
          <w:b/>
          <w:bCs/>
          <w:sz w:val="22"/>
        </w:rPr>
      </w:pPr>
      <w:r>
        <w:rPr>
          <w:rFonts w:ascii="Calibri" w:hAnsi="Calibri" w:cs="Calibri"/>
          <w:b/>
          <w:bCs/>
          <w:sz w:val="22"/>
        </w:rPr>
        <w:tab/>
      </w:r>
    </w:p>
    <w:tbl>
      <w:tblPr>
        <w:tblStyle w:val="TableGrid"/>
        <w:tblW w:w="10201" w:type="dxa"/>
        <w:tblLook w:val="04A0" w:firstRow="1" w:lastRow="0" w:firstColumn="1" w:lastColumn="0" w:noHBand="0" w:noVBand="1"/>
      </w:tblPr>
      <w:tblGrid>
        <w:gridCol w:w="5098"/>
        <w:gridCol w:w="5103"/>
      </w:tblGrid>
      <w:tr w:rsidR="00505A40" w:rsidRPr="00C07510" w14:paraId="151819BE" w14:textId="77777777" w:rsidTr="00505A40">
        <w:trPr>
          <w:trHeight w:val="1678"/>
        </w:trPr>
        <w:tc>
          <w:tcPr>
            <w:tcW w:w="5098" w:type="dxa"/>
          </w:tcPr>
          <w:p w14:paraId="7A6388D8" w14:textId="628A48E0" w:rsidR="00505A40" w:rsidRPr="00C07510" w:rsidRDefault="00505A40" w:rsidP="0060299B">
            <w:pPr>
              <w:spacing w:before="60" w:after="120"/>
              <w:jc w:val="center"/>
              <w:rPr>
                <w:rFonts w:ascii="Calibri" w:hAnsi="Calibri" w:cs="Calibri"/>
                <w:b/>
                <w:bCs/>
                <w:color w:val="92D050"/>
                <w:sz w:val="22"/>
                <w:szCs w:val="22"/>
              </w:rPr>
            </w:pPr>
            <w:r w:rsidRPr="00C07510">
              <w:rPr>
                <w:rFonts w:ascii="Calibri" w:hAnsi="Calibri" w:cs="Calibri"/>
                <w:b/>
                <w:bCs/>
                <w:color w:val="92D050"/>
                <w:sz w:val="22"/>
                <w:szCs w:val="22"/>
              </w:rPr>
              <w:t xml:space="preserve">1. </w:t>
            </w:r>
            <w:r w:rsidR="00D47F8D" w:rsidRPr="00C07510">
              <w:rPr>
                <w:rFonts w:ascii="Calibri" w:hAnsi="Calibri" w:cs="Calibri"/>
                <w:b/>
                <w:bCs/>
                <w:color w:val="92D050"/>
                <w:sz w:val="22"/>
                <w:szCs w:val="22"/>
              </w:rPr>
              <w:t xml:space="preserve">Be committed to our </w:t>
            </w:r>
            <w:hyperlink r:id="rId9" w:history="1">
              <w:r w:rsidR="00D47F8D" w:rsidRPr="00312398">
                <w:rPr>
                  <w:rStyle w:val="Hyperlink"/>
                  <w:rFonts w:ascii="Calibri" w:hAnsi="Calibri" w:cs="Calibri"/>
                  <w:b/>
                  <w:bCs/>
                  <w:sz w:val="22"/>
                  <w:szCs w:val="22"/>
                </w:rPr>
                <w:t>feminist principles</w:t>
              </w:r>
            </w:hyperlink>
            <w:r w:rsidR="00D47F8D" w:rsidRPr="00C07510">
              <w:rPr>
                <w:rFonts w:ascii="Calibri" w:hAnsi="Calibri" w:cs="Calibri"/>
                <w:b/>
                <w:bCs/>
                <w:color w:val="92D050"/>
                <w:sz w:val="22"/>
                <w:szCs w:val="22"/>
              </w:rPr>
              <w:t xml:space="preserve">, and to applying them in your day-to-day behaviour and your work. Be ready to keep learning, with accountability to those who experience oppression </w:t>
            </w:r>
            <w:proofErr w:type="gramStart"/>
            <w:r w:rsidR="00D47F8D" w:rsidRPr="00C07510">
              <w:rPr>
                <w:rFonts w:ascii="Calibri" w:hAnsi="Calibri" w:cs="Calibri"/>
                <w:b/>
                <w:bCs/>
                <w:color w:val="92D050"/>
                <w:sz w:val="22"/>
                <w:szCs w:val="22"/>
              </w:rPr>
              <w:t>as a result of</w:t>
            </w:r>
            <w:proofErr w:type="gramEnd"/>
            <w:r w:rsidR="00D47F8D" w:rsidRPr="00C07510">
              <w:rPr>
                <w:rFonts w:ascii="Calibri" w:hAnsi="Calibri" w:cs="Calibri"/>
                <w:b/>
                <w:bCs/>
                <w:color w:val="92D050"/>
                <w:sz w:val="22"/>
                <w:szCs w:val="22"/>
              </w:rPr>
              <w:t xml:space="preserve"> their identities, such as their gender, race/ethnicity, disability, class, or LGBTQIA identity."</w:t>
            </w:r>
          </w:p>
          <w:p w14:paraId="6A13D8DF" w14:textId="5E091D04" w:rsidR="00505A40" w:rsidRPr="00C07510" w:rsidRDefault="00505A40" w:rsidP="0060299B">
            <w:pPr>
              <w:spacing w:before="60" w:after="120"/>
              <w:jc w:val="center"/>
              <w:rPr>
                <w:rFonts w:ascii="Calibri" w:hAnsi="Calibri" w:cs="Calibri"/>
                <w:b/>
                <w:bCs/>
                <w:color w:val="92D050"/>
                <w:sz w:val="22"/>
                <w:szCs w:val="22"/>
              </w:rPr>
            </w:pPr>
          </w:p>
        </w:tc>
        <w:tc>
          <w:tcPr>
            <w:tcW w:w="5103" w:type="dxa"/>
          </w:tcPr>
          <w:p w14:paraId="30A2F2EC" w14:textId="77777777" w:rsidR="00D47F8D" w:rsidRPr="00C07510" w:rsidRDefault="00505A40" w:rsidP="0060299B">
            <w:pPr>
              <w:spacing w:before="60" w:after="120"/>
              <w:jc w:val="center"/>
              <w:rPr>
                <w:rFonts w:ascii="Calibri" w:hAnsi="Calibri" w:cs="Calibri"/>
                <w:b/>
                <w:bCs/>
                <w:color w:val="92D050"/>
                <w:sz w:val="22"/>
                <w:szCs w:val="22"/>
              </w:rPr>
            </w:pPr>
            <w:r w:rsidRPr="00C07510">
              <w:rPr>
                <w:rFonts w:ascii="Calibri" w:hAnsi="Calibri" w:cs="Calibri"/>
                <w:b/>
                <w:bCs/>
                <w:color w:val="92D050"/>
                <w:sz w:val="22"/>
                <w:szCs w:val="22"/>
              </w:rPr>
              <w:t xml:space="preserve">2. </w:t>
            </w:r>
            <w:r w:rsidR="00D47F8D" w:rsidRPr="00C07510">
              <w:rPr>
                <w:rFonts w:ascii="Calibri" w:hAnsi="Calibri" w:cs="Calibri"/>
                <w:b/>
                <w:bCs/>
                <w:color w:val="92D050"/>
                <w:sz w:val="22"/>
                <w:szCs w:val="22"/>
              </w:rPr>
              <w:t>Be committed to undertaking Oxfam’s safeguarding training and adhering to relevant policies, to ensure all people who come into Oxfam are as safe as possible.</w:t>
            </w:r>
          </w:p>
          <w:p w14:paraId="1673D5BB" w14:textId="32DF03D6" w:rsidR="00505A40" w:rsidRPr="00C07510" w:rsidRDefault="00505A40" w:rsidP="0060299B">
            <w:pPr>
              <w:spacing w:before="60" w:after="120"/>
              <w:jc w:val="center"/>
              <w:rPr>
                <w:rFonts w:ascii="Calibri" w:hAnsi="Calibri" w:cs="Calibri"/>
                <w:color w:val="92D050"/>
                <w:sz w:val="22"/>
                <w:szCs w:val="22"/>
              </w:rPr>
            </w:pPr>
          </w:p>
        </w:tc>
      </w:tr>
      <w:bookmarkEnd w:id="2"/>
      <w:bookmarkEnd w:id="3"/>
    </w:tbl>
    <w:p w14:paraId="553AC6B7" w14:textId="6C81D3A3" w:rsidR="00DC1BF2" w:rsidRPr="00C07510" w:rsidRDefault="00DC1BF2" w:rsidP="000D79DF">
      <w:pPr>
        <w:spacing w:before="60" w:after="120"/>
        <w:rPr>
          <w:rFonts w:ascii="Calibri" w:hAnsi="Calibri" w:cs="Calibri"/>
          <w:b/>
          <w:bCs/>
          <w:sz w:val="24"/>
          <w:szCs w:val="24"/>
        </w:rPr>
      </w:pPr>
    </w:p>
    <w:tbl>
      <w:tblPr>
        <w:tblStyle w:val="TableGrid"/>
        <w:tblW w:w="10164" w:type="dxa"/>
        <w:tblLook w:val="04A0" w:firstRow="1" w:lastRow="0" w:firstColumn="1" w:lastColumn="0" w:noHBand="0" w:noVBand="1"/>
      </w:tblPr>
      <w:tblGrid>
        <w:gridCol w:w="10164"/>
      </w:tblGrid>
      <w:tr w:rsidR="00F733BA" w:rsidRPr="00F733BA" w14:paraId="708BB7DF" w14:textId="77777777" w:rsidTr="7BA0CB11">
        <w:trPr>
          <w:trHeight w:val="655"/>
        </w:trPr>
        <w:tc>
          <w:tcPr>
            <w:tcW w:w="10164" w:type="dxa"/>
            <w:shd w:val="clear" w:color="auto" w:fill="92D050"/>
          </w:tcPr>
          <w:p w14:paraId="18A4422F" w14:textId="4BA10C66" w:rsidR="00F733BA" w:rsidRPr="00F733BA" w:rsidRDefault="00F733BA" w:rsidP="00F733BA">
            <w:pPr>
              <w:pStyle w:val="Heading1"/>
              <w:spacing w:before="60" w:after="120"/>
              <w:outlineLvl w:val="0"/>
              <w:rPr>
                <w:rFonts w:ascii="Calibri" w:hAnsi="Calibri" w:cs="Calibri"/>
                <w:lang w:eastAsia="en-US"/>
              </w:rPr>
            </w:pPr>
            <w:r w:rsidRPr="00F733BA">
              <w:rPr>
                <w:rFonts w:ascii="Calibri" w:hAnsi="Calibri" w:cs="Calibri"/>
                <w:lang w:eastAsia="en-US"/>
              </w:rPr>
              <w:t>EXPERIENCE, KNOWLEDGE &amp; COMPETENCIES</w:t>
            </w:r>
          </w:p>
        </w:tc>
      </w:tr>
      <w:tr w:rsidR="00180768" w:rsidRPr="00C07510" w14:paraId="7BA2FF12" w14:textId="77777777" w:rsidTr="7BA0CB11">
        <w:trPr>
          <w:trHeight w:val="1373"/>
        </w:trPr>
        <w:tc>
          <w:tcPr>
            <w:tcW w:w="10164" w:type="dxa"/>
          </w:tcPr>
          <w:p w14:paraId="14CDAF6B" w14:textId="728DED0A" w:rsidR="00B846CB" w:rsidRDefault="00D22A1A" w:rsidP="0005105C">
            <w:pPr>
              <w:widowControl w:val="0"/>
              <w:autoSpaceDE w:val="0"/>
              <w:autoSpaceDN w:val="0"/>
              <w:adjustRightInd w:val="0"/>
              <w:spacing w:after="0"/>
              <w:rPr>
                <w:b/>
                <w:sz w:val="24"/>
                <w:szCs w:val="24"/>
              </w:rPr>
            </w:pPr>
            <w:r>
              <w:rPr>
                <w:b/>
                <w:sz w:val="24"/>
                <w:szCs w:val="24"/>
              </w:rPr>
              <w:t xml:space="preserve">ESSENTIAL </w:t>
            </w:r>
          </w:p>
          <w:p w14:paraId="7E0DA735" w14:textId="779B1DA8" w:rsidR="00B846CB" w:rsidRDefault="00B846CB" w:rsidP="0005105C">
            <w:pPr>
              <w:widowControl w:val="0"/>
              <w:autoSpaceDE w:val="0"/>
              <w:autoSpaceDN w:val="0"/>
              <w:adjustRightInd w:val="0"/>
              <w:spacing w:after="0"/>
              <w:rPr>
                <w:b/>
                <w:sz w:val="24"/>
                <w:szCs w:val="24"/>
              </w:rPr>
            </w:pPr>
            <w:r>
              <w:rPr>
                <w:b/>
                <w:sz w:val="24"/>
                <w:szCs w:val="24"/>
              </w:rPr>
              <w:t xml:space="preserve"> </w:t>
            </w:r>
          </w:p>
          <w:p w14:paraId="0C44EDD5" w14:textId="49F4EFC3" w:rsidR="00B846CB" w:rsidRPr="00D22A1A" w:rsidRDefault="00B846CB" w:rsidP="0005105C">
            <w:pPr>
              <w:pStyle w:val="ListParagraph"/>
              <w:numPr>
                <w:ilvl w:val="0"/>
                <w:numId w:val="16"/>
              </w:numPr>
              <w:rPr>
                <w:rFonts w:asciiTheme="minorHAnsi" w:hAnsiTheme="minorHAnsi" w:cstheme="minorHAnsi"/>
                <w:sz w:val="22"/>
                <w:szCs w:val="22"/>
              </w:rPr>
            </w:pPr>
            <w:r w:rsidRPr="00D22A1A">
              <w:rPr>
                <w:rFonts w:asciiTheme="minorHAnsi" w:hAnsiTheme="minorHAnsi" w:cstheme="minorHAnsi"/>
                <w:sz w:val="22"/>
                <w:szCs w:val="22"/>
              </w:rPr>
              <w:t>Self-awareness</w:t>
            </w:r>
          </w:p>
          <w:p w14:paraId="57FCA151" w14:textId="7DCB2DCE" w:rsidR="00D22A1A" w:rsidRDefault="00B846CB" w:rsidP="00B8666B">
            <w:pPr>
              <w:pStyle w:val="ListParagraph"/>
              <w:numPr>
                <w:ilvl w:val="0"/>
                <w:numId w:val="16"/>
              </w:numPr>
            </w:pPr>
            <w:r w:rsidRPr="00D22A1A">
              <w:rPr>
                <w:rFonts w:asciiTheme="minorHAnsi" w:hAnsiTheme="minorHAnsi" w:cstheme="minorHAnsi"/>
                <w:sz w:val="22"/>
                <w:szCs w:val="22"/>
              </w:rPr>
              <w:t>Agility</w:t>
            </w:r>
            <w:r w:rsidR="0083344A">
              <w:rPr>
                <w:rFonts w:asciiTheme="minorHAnsi" w:hAnsiTheme="minorHAnsi" w:cstheme="minorHAnsi"/>
                <w:sz w:val="22"/>
                <w:szCs w:val="22"/>
              </w:rPr>
              <w:t xml:space="preserve"> and</w:t>
            </w:r>
            <w:r w:rsidRPr="00D22A1A">
              <w:rPr>
                <w:rFonts w:asciiTheme="minorHAnsi" w:hAnsiTheme="minorHAnsi" w:cstheme="minorHAnsi"/>
                <w:sz w:val="22"/>
                <w:szCs w:val="22"/>
              </w:rPr>
              <w:t xml:space="preserve"> complexity</w:t>
            </w:r>
          </w:p>
          <w:p w14:paraId="63B3490D" w14:textId="58241215" w:rsidR="00D22A1A" w:rsidRDefault="00A9111C" w:rsidP="00B8666B">
            <w:pPr>
              <w:pStyle w:val="ListParagraph"/>
              <w:numPr>
                <w:ilvl w:val="0"/>
                <w:numId w:val="16"/>
              </w:numPr>
            </w:pPr>
            <w:r>
              <w:t>Strategic thinking and judgement</w:t>
            </w:r>
          </w:p>
          <w:p w14:paraId="17F89DBE" w14:textId="62F7B480" w:rsidR="00B846CB" w:rsidRPr="00D22A1A" w:rsidRDefault="00D22A1A" w:rsidP="00D22A1A">
            <w:pPr>
              <w:ind w:left="22"/>
              <w:rPr>
                <w:b/>
                <w:sz w:val="24"/>
                <w:szCs w:val="24"/>
              </w:rPr>
            </w:pPr>
            <w:r w:rsidRPr="00D22A1A">
              <w:rPr>
                <w:b/>
                <w:sz w:val="24"/>
                <w:szCs w:val="24"/>
              </w:rPr>
              <w:t>IN ADDITION</w:t>
            </w:r>
          </w:p>
          <w:p w14:paraId="636AC648" w14:textId="77777777" w:rsidR="00D617AB" w:rsidRPr="00133237" w:rsidRDefault="00D617AB" w:rsidP="00D617AB">
            <w:pPr>
              <w:rPr>
                <w:b/>
                <w:color w:val="000000" w:themeColor="text1"/>
              </w:rPr>
            </w:pPr>
            <w:bookmarkStart w:id="4" w:name="_Hlk82075997"/>
            <w:r w:rsidRPr="00133237">
              <w:rPr>
                <w:b/>
                <w:color w:val="000000" w:themeColor="text1"/>
              </w:rPr>
              <w:t>Geographical, Political and Regional Knowledge</w:t>
            </w:r>
          </w:p>
          <w:p w14:paraId="12459C6A" w14:textId="77777777" w:rsidR="00D617AB" w:rsidRPr="00133237" w:rsidRDefault="00D617AB" w:rsidP="00D617AB">
            <w:pPr>
              <w:pStyle w:val="ListParagraph"/>
              <w:numPr>
                <w:ilvl w:val="0"/>
                <w:numId w:val="22"/>
              </w:numPr>
              <w:spacing w:after="100"/>
              <w:rPr>
                <w:color w:val="000000" w:themeColor="text1"/>
              </w:rPr>
            </w:pPr>
            <w:r w:rsidRPr="00133237">
              <w:rPr>
                <w:color w:val="000000" w:themeColor="text1"/>
              </w:rPr>
              <w:t xml:space="preserve">Understanding and knowledge of the politics, economics and political context within </w:t>
            </w:r>
            <w:r>
              <w:rPr>
                <w:color w:val="000000" w:themeColor="text1"/>
              </w:rPr>
              <w:t>Asia</w:t>
            </w:r>
            <w:r w:rsidRPr="00133237">
              <w:rPr>
                <w:color w:val="000000" w:themeColor="text1"/>
              </w:rPr>
              <w:t xml:space="preserve"> and global dynamics as they relate to the </w:t>
            </w:r>
            <w:r>
              <w:rPr>
                <w:color w:val="000000" w:themeColor="text1"/>
              </w:rPr>
              <w:t xml:space="preserve">Asia </w:t>
            </w:r>
            <w:r w:rsidRPr="00133237">
              <w:rPr>
                <w:color w:val="000000" w:themeColor="text1"/>
              </w:rPr>
              <w:t>region.</w:t>
            </w:r>
          </w:p>
          <w:p w14:paraId="138E4356" w14:textId="77777777" w:rsidR="00D617AB" w:rsidRPr="00133237" w:rsidRDefault="00D617AB" w:rsidP="00D617AB">
            <w:pPr>
              <w:rPr>
                <w:b/>
                <w:color w:val="000000" w:themeColor="text1"/>
              </w:rPr>
            </w:pPr>
          </w:p>
          <w:p w14:paraId="53B9EFE4" w14:textId="77777777" w:rsidR="00D617AB" w:rsidRPr="00133237" w:rsidRDefault="00D617AB" w:rsidP="00D617AB">
            <w:pPr>
              <w:rPr>
                <w:b/>
                <w:color w:val="000000" w:themeColor="text1"/>
              </w:rPr>
            </w:pPr>
            <w:r w:rsidRPr="00133237">
              <w:rPr>
                <w:b/>
                <w:color w:val="000000" w:themeColor="text1"/>
              </w:rPr>
              <w:t>Leadership and Management</w:t>
            </w:r>
          </w:p>
          <w:p w14:paraId="1F34D9C4" w14:textId="6175BEC1" w:rsidR="00D617AB" w:rsidRPr="00133237" w:rsidRDefault="00D617AB" w:rsidP="00D617AB">
            <w:pPr>
              <w:pStyle w:val="ListParagraph"/>
              <w:numPr>
                <w:ilvl w:val="0"/>
                <w:numId w:val="21"/>
              </w:numPr>
              <w:spacing w:after="100"/>
              <w:rPr>
                <w:color w:val="000000" w:themeColor="text1"/>
              </w:rPr>
            </w:pPr>
            <w:r w:rsidRPr="00133237">
              <w:rPr>
                <w:color w:val="000000" w:themeColor="text1"/>
              </w:rPr>
              <w:t>Proven track record of advocacy, and representation to the highest-level including understanding of an</w:t>
            </w:r>
            <w:r w:rsidR="0083344A">
              <w:rPr>
                <w:color w:val="000000" w:themeColor="text1"/>
              </w:rPr>
              <w:t>d</w:t>
            </w:r>
            <w:r w:rsidRPr="00133237">
              <w:rPr>
                <w:color w:val="000000" w:themeColor="text1"/>
              </w:rPr>
              <w:t xml:space="preserve"> experience with media</w:t>
            </w:r>
            <w:r>
              <w:rPr>
                <w:color w:val="000000" w:themeColor="text1"/>
              </w:rPr>
              <w:t xml:space="preserve"> within the Asia region</w:t>
            </w:r>
            <w:r w:rsidRPr="00133237">
              <w:rPr>
                <w:color w:val="000000" w:themeColor="text1"/>
              </w:rPr>
              <w:t xml:space="preserve">. </w:t>
            </w:r>
          </w:p>
          <w:p w14:paraId="4993092C" w14:textId="77777777" w:rsidR="00D617AB" w:rsidRPr="00133237" w:rsidRDefault="00D617AB" w:rsidP="00D617AB">
            <w:pPr>
              <w:pStyle w:val="ListParagraph"/>
              <w:numPr>
                <w:ilvl w:val="0"/>
                <w:numId w:val="21"/>
              </w:numPr>
              <w:spacing w:after="100"/>
              <w:rPr>
                <w:color w:val="000000" w:themeColor="text1"/>
              </w:rPr>
            </w:pPr>
            <w:r w:rsidRPr="00133237">
              <w:rPr>
                <w:color w:val="000000" w:themeColor="text1"/>
              </w:rPr>
              <w:t>A high degree of self-awareness and an understanding of how to drive and support excellent team performance and individual development in line with Oxfam’s values. Act as a role model and demonstrate exceptional leadership in line with Oxfam’s values</w:t>
            </w:r>
          </w:p>
          <w:p w14:paraId="28D3B613" w14:textId="77777777" w:rsidR="00D617AB" w:rsidRPr="00133237" w:rsidRDefault="00D617AB" w:rsidP="00D617AB">
            <w:pPr>
              <w:pStyle w:val="ListParagraph"/>
              <w:numPr>
                <w:ilvl w:val="0"/>
                <w:numId w:val="21"/>
              </w:numPr>
              <w:spacing w:after="100"/>
              <w:rPr>
                <w:color w:val="000000" w:themeColor="text1"/>
              </w:rPr>
            </w:pPr>
            <w:r w:rsidRPr="00133237">
              <w:rPr>
                <w:color w:val="000000" w:themeColor="text1"/>
              </w:rPr>
              <w:t>Significant experience of leading and managing complex change processes and relationships involving a wide range of both internal and external multi-cultural stakeholders across a variety of disciplines and geographical areas.</w:t>
            </w:r>
          </w:p>
          <w:p w14:paraId="5CFCCF9E" w14:textId="76A9206F" w:rsidR="00D617AB" w:rsidRPr="00133237" w:rsidRDefault="00D617AB" w:rsidP="00D617AB">
            <w:pPr>
              <w:pStyle w:val="ListParagraph"/>
              <w:numPr>
                <w:ilvl w:val="0"/>
                <w:numId w:val="21"/>
              </w:numPr>
              <w:spacing w:after="100"/>
              <w:rPr>
                <w:color w:val="000000" w:themeColor="text1"/>
              </w:rPr>
            </w:pPr>
            <w:r w:rsidRPr="00133237">
              <w:rPr>
                <w:color w:val="000000" w:themeColor="text1"/>
              </w:rPr>
              <w:t xml:space="preserve">Understanding and experience in humanitarian and </w:t>
            </w:r>
            <w:proofErr w:type="gramStart"/>
            <w:r w:rsidRPr="00133237">
              <w:rPr>
                <w:color w:val="000000" w:themeColor="text1"/>
              </w:rPr>
              <w:t>long term</w:t>
            </w:r>
            <w:proofErr w:type="gramEnd"/>
            <w:r w:rsidRPr="00133237">
              <w:rPr>
                <w:color w:val="000000" w:themeColor="text1"/>
              </w:rPr>
              <w:t xml:space="preserve"> development issues as well as an ability to include and lead in the further development of program policy</w:t>
            </w:r>
            <w:r>
              <w:rPr>
                <w:color w:val="000000" w:themeColor="text1"/>
              </w:rPr>
              <w:t>, especially within the Asia region.</w:t>
            </w:r>
            <w:r w:rsidRPr="00133237">
              <w:rPr>
                <w:color w:val="000000" w:themeColor="text1"/>
              </w:rPr>
              <w:t xml:space="preserve"> </w:t>
            </w:r>
          </w:p>
          <w:p w14:paraId="69B5BCA2" w14:textId="77777777" w:rsidR="00D617AB" w:rsidRPr="00133237" w:rsidRDefault="00D617AB" w:rsidP="00D617AB">
            <w:pPr>
              <w:pStyle w:val="ListParagraph"/>
              <w:numPr>
                <w:ilvl w:val="0"/>
                <w:numId w:val="21"/>
              </w:numPr>
              <w:spacing w:after="100"/>
              <w:rPr>
                <w:color w:val="000000" w:themeColor="text1"/>
              </w:rPr>
            </w:pPr>
            <w:r w:rsidRPr="00133237">
              <w:rPr>
                <w:color w:val="000000" w:themeColor="text1"/>
              </w:rPr>
              <w:t>Understanding and experience of conflict sensitivity and safe programming.</w:t>
            </w:r>
          </w:p>
          <w:p w14:paraId="7C1283B1" w14:textId="77777777" w:rsidR="00D617AB" w:rsidRPr="00133237" w:rsidRDefault="00D617AB" w:rsidP="00D617AB">
            <w:pPr>
              <w:pStyle w:val="ListParagraph"/>
              <w:spacing w:after="100"/>
              <w:rPr>
                <w:color w:val="000000" w:themeColor="text1"/>
              </w:rPr>
            </w:pPr>
          </w:p>
          <w:p w14:paraId="6D530C44" w14:textId="77777777" w:rsidR="00D617AB" w:rsidRPr="00133237" w:rsidRDefault="00D617AB" w:rsidP="00D617AB">
            <w:pPr>
              <w:rPr>
                <w:b/>
                <w:color w:val="000000" w:themeColor="text1"/>
              </w:rPr>
            </w:pPr>
            <w:r w:rsidRPr="00133237">
              <w:rPr>
                <w:b/>
                <w:color w:val="000000" w:themeColor="text1"/>
              </w:rPr>
              <w:t>Strategic Analysis</w:t>
            </w:r>
          </w:p>
          <w:p w14:paraId="260A8D5B" w14:textId="1655BBD9" w:rsidR="00D617AB" w:rsidRPr="00133237" w:rsidRDefault="00D617AB" w:rsidP="00D617AB">
            <w:pPr>
              <w:pStyle w:val="ListParagraph"/>
              <w:numPr>
                <w:ilvl w:val="0"/>
                <w:numId w:val="20"/>
              </w:numPr>
              <w:spacing w:after="100"/>
              <w:rPr>
                <w:color w:val="000000" w:themeColor="text1"/>
              </w:rPr>
            </w:pPr>
            <w:r w:rsidRPr="00133237">
              <w:rPr>
                <w:color w:val="000000" w:themeColor="text1"/>
              </w:rPr>
              <w:t>Proven analytical skills, able to take and manage calculated risks based on evidence</w:t>
            </w:r>
            <w:r w:rsidR="00A9111C">
              <w:rPr>
                <w:color w:val="000000" w:themeColor="text1"/>
              </w:rPr>
              <w:t>-</w:t>
            </w:r>
            <w:r w:rsidRPr="00133237">
              <w:rPr>
                <w:color w:val="000000" w:themeColor="text1"/>
              </w:rPr>
              <w:t xml:space="preserve">based assumptions. </w:t>
            </w:r>
          </w:p>
          <w:p w14:paraId="7DDDB140" w14:textId="77777777" w:rsidR="00D617AB" w:rsidRPr="00133237" w:rsidRDefault="00D617AB" w:rsidP="00D617AB">
            <w:pPr>
              <w:pStyle w:val="ListParagraph"/>
              <w:numPr>
                <w:ilvl w:val="0"/>
                <w:numId w:val="20"/>
              </w:numPr>
              <w:spacing w:after="100"/>
              <w:rPr>
                <w:color w:val="000000" w:themeColor="text1"/>
              </w:rPr>
            </w:pPr>
            <w:r w:rsidRPr="00133237">
              <w:rPr>
                <w:color w:val="000000" w:themeColor="text1"/>
              </w:rPr>
              <w:t xml:space="preserve">Able to think strategically, to maximize adaptability and agility, and encourage forward thinking, new ideas and learning from experience beyond the country program context while acting within a global framework. </w:t>
            </w:r>
          </w:p>
          <w:p w14:paraId="3CE5D23F" w14:textId="77777777" w:rsidR="00D617AB" w:rsidRPr="00133237" w:rsidRDefault="00D617AB" w:rsidP="00D617AB">
            <w:pPr>
              <w:rPr>
                <w:b/>
                <w:color w:val="000000" w:themeColor="text1"/>
              </w:rPr>
            </w:pPr>
          </w:p>
          <w:p w14:paraId="57BF873D" w14:textId="77777777" w:rsidR="00D617AB" w:rsidRPr="00133237" w:rsidRDefault="00D617AB" w:rsidP="00D617AB">
            <w:pPr>
              <w:rPr>
                <w:b/>
                <w:color w:val="000000" w:themeColor="text1"/>
              </w:rPr>
            </w:pPr>
            <w:r w:rsidRPr="00133237">
              <w:rPr>
                <w:b/>
                <w:color w:val="000000" w:themeColor="text1"/>
              </w:rPr>
              <w:t>Finance and Funding</w:t>
            </w:r>
          </w:p>
          <w:p w14:paraId="69B40C85" w14:textId="77777777" w:rsidR="00D617AB" w:rsidRPr="00133237" w:rsidRDefault="00D617AB" w:rsidP="00D617AB">
            <w:pPr>
              <w:pStyle w:val="ListParagraph"/>
              <w:numPr>
                <w:ilvl w:val="0"/>
                <w:numId w:val="23"/>
              </w:numPr>
              <w:spacing w:after="100"/>
              <w:rPr>
                <w:color w:val="000000" w:themeColor="text1"/>
              </w:rPr>
            </w:pPr>
            <w:r w:rsidRPr="00133237">
              <w:rPr>
                <w:color w:val="000000" w:themeColor="text1"/>
              </w:rPr>
              <w:t xml:space="preserve">Competent financial and asset management experience. Ability to manage multiple large budgets, mitigating and controlling financial risks – including managing donor funding and relationships, across </w:t>
            </w:r>
            <w:proofErr w:type="gramStart"/>
            <w:r w:rsidRPr="00133237">
              <w:rPr>
                <w:color w:val="000000" w:themeColor="text1"/>
              </w:rPr>
              <w:t>a large number of</w:t>
            </w:r>
            <w:proofErr w:type="gramEnd"/>
            <w:r w:rsidRPr="00133237">
              <w:rPr>
                <w:color w:val="000000" w:themeColor="text1"/>
              </w:rPr>
              <w:t xml:space="preserve"> countries and programs.</w:t>
            </w:r>
          </w:p>
          <w:p w14:paraId="3B513098" w14:textId="77777777" w:rsidR="00D617AB" w:rsidRPr="00133237" w:rsidRDefault="00D617AB" w:rsidP="00D617AB">
            <w:pPr>
              <w:rPr>
                <w:b/>
                <w:color w:val="000000" w:themeColor="text1"/>
              </w:rPr>
            </w:pPr>
          </w:p>
          <w:p w14:paraId="34C20EBC" w14:textId="77777777" w:rsidR="00D617AB" w:rsidRPr="00133237" w:rsidRDefault="00D617AB" w:rsidP="00D617AB">
            <w:pPr>
              <w:rPr>
                <w:b/>
                <w:color w:val="000000" w:themeColor="text1"/>
              </w:rPr>
            </w:pPr>
            <w:r w:rsidRPr="00133237">
              <w:rPr>
                <w:b/>
                <w:color w:val="000000" w:themeColor="text1"/>
              </w:rPr>
              <w:t>Risk Management</w:t>
            </w:r>
          </w:p>
          <w:p w14:paraId="13BC2222" w14:textId="77777777" w:rsidR="00D617AB" w:rsidRPr="00133237" w:rsidRDefault="00D617AB" w:rsidP="00D617AB">
            <w:pPr>
              <w:pStyle w:val="ListParagraph"/>
              <w:numPr>
                <w:ilvl w:val="0"/>
                <w:numId w:val="23"/>
              </w:numPr>
              <w:spacing w:after="100"/>
              <w:rPr>
                <w:color w:val="000000" w:themeColor="text1"/>
              </w:rPr>
            </w:pPr>
            <w:r w:rsidRPr="00133237">
              <w:rPr>
                <w:color w:val="000000" w:themeColor="text1"/>
              </w:rPr>
              <w:t xml:space="preserve">Able to take calculated risks based on evidence-based assumptions. Ability to continually access and </w:t>
            </w:r>
            <w:proofErr w:type="spellStart"/>
            <w:r w:rsidRPr="00133237">
              <w:rPr>
                <w:color w:val="000000" w:themeColor="text1"/>
              </w:rPr>
              <w:t>analyze</w:t>
            </w:r>
            <w:proofErr w:type="spellEnd"/>
            <w:r w:rsidRPr="00133237">
              <w:rPr>
                <w:color w:val="000000" w:themeColor="text1"/>
              </w:rPr>
              <w:t xml:space="preserve"> the external context of the organization enabling the development of realistic strategies to maximize adaptability and agility, encourage future thinking, innovation, new ideas and learning from experience, as well as sound judgment on when to stop as well as start new initiatives.</w:t>
            </w:r>
          </w:p>
          <w:p w14:paraId="3376320B" w14:textId="77777777" w:rsidR="00D617AB" w:rsidRPr="00133237" w:rsidRDefault="00D617AB" w:rsidP="00D617AB">
            <w:pPr>
              <w:pStyle w:val="ListParagraph"/>
              <w:numPr>
                <w:ilvl w:val="0"/>
                <w:numId w:val="23"/>
              </w:numPr>
              <w:spacing w:after="100"/>
              <w:rPr>
                <w:color w:val="000000" w:themeColor="text1"/>
              </w:rPr>
            </w:pPr>
            <w:r w:rsidRPr="00133237">
              <w:rPr>
                <w:color w:val="000000" w:themeColor="text1"/>
              </w:rPr>
              <w:t>Proven track record of making sound judgments in uncertain and pressurized situations including managing policy related reputational risks, including experience of security and crisis management leadership in complex security environments</w:t>
            </w:r>
          </w:p>
          <w:p w14:paraId="640AAFBA" w14:textId="77777777" w:rsidR="0005105C" w:rsidRPr="00D22A1A" w:rsidRDefault="0005105C" w:rsidP="0005105C">
            <w:pPr>
              <w:pStyle w:val="ListParagraph"/>
              <w:numPr>
                <w:ilvl w:val="0"/>
                <w:numId w:val="17"/>
              </w:numPr>
              <w:rPr>
                <w:rFonts w:asciiTheme="minorHAnsi" w:hAnsiTheme="minorHAnsi"/>
                <w:sz w:val="22"/>
                <w:szCs w:val="22"/>
              </w:rPr>
            </w:pPr>
            <w:r w:rsidRPr="00D22A1A">
              <w:rPr>
                <w:rFonts w:asciiTheme="minorHAnsi" w:hAnsiTheme="minorHAnsi"/>
                <w:sz w:val="22"/>
                <w:szCs w:val="22"/>
              </w:rPr>
              <w:t xml:space="preserve">Fluent spoken and written English </w:t>
            </w:r>
          </w:p>
          <w:bookmarkEnd w:id="4"/>
          <w:p w14:paraId="02150665" w14:textId="130D5157" w:rsidR="004D2EBF" w:rsidRPr="00B846CB" w:rsidRDefault="004D2EBF" w:rsidP="00B846CB">
            <w:pPr>
              <w:spacing w:before="60" w:after="120"/>
              <w:rPr>
                <w:rFonts w:ascii="Calibri" w:hAnsi="Calibri" w:cs="Calibri"/>
                <w:i/>
                <w:iCs/>
                <w:sz w:val="22"/>
              </w:rPr>
            </w:pPr>
          </w:p>
        </w:tc>
      </w:tr>
      <w:tr w:rsidR="00180768" w:rsidRPr="00C07510" w14:paraId="323EF2D2" w14:textId="77777777" w:rsidTr="7BA0CB11">
        <w:trPr>
          <w:trHeight w:val="1373"/>
        </w:trPr>
        <w:tc>
          <w:tcPr>
            <w:tcW w:w="10164" w:type="dxa"/>
          </w:tcPr>
          <w:p w14:paraId="53A55A7B" w14:textId="77777777" w:rsidR="00180768" w:rsidRPr="00C07510" w:rsidRDefault="00180768" w:rsidP="000D79DF">
            <w:pPr>
              <w:spacing w:before="60" w:after="120"/>
              <w:rPr>
                <w:rFonts w:ascii="Calibri" w:hAnsi="Calibri" w:cs="Calibri"/>
                <w:b/>
                <w:bCs/>
                <w:sz w:val="22"/>
                <w:szCs w:val="22"/>
              </w:rPr>
            </w:pPr>
            <w:r w:rsidRPr="00C07510">
              <w:rPr>
                <w:rFonts w:ascii="Calibri" w:hAnsi="Calibri" w:cs="Calibri"/>
                <w:b/>
                <w:bCs/>
                <w:sz w:val="22"/>
                <w:szCs w:val="22"/>
              </w:rPr>
              <w:t>Desirable</w:t>
            </w:r>
          </w:p>
          <w:p w14:paraId="662C4F6B" w14:textId="137966C6" w:rsidR="00CF06FC" w:rsidRPr="00133237" w:rsidRDefault="00CF06FC" w:rsidP="00CF06FC">
            <w:pPr>
              <w:pStyle w:val="ListParagraph"/>
              <w:numPr>
                <w:ilvl w:val="0"/>
                <w:numId w:val="24"/>
              </w:numPr>
              <w:spacing w:after="100"/>
              <w:rPr>
                <w:b/>
                <w:color w:val="000000" w:themeColor="text1"/>
              </w:rPr>
            </w:pPr>
            <w:r w:rsidRPr="00133237">
              <w:rPr>
                <w:color w:val="000000" w:themeColor="text1"/>
              </w:rPr>
              <w:t xml:space="preserve">Fluent in English </w:t>
            </w:r>
            <w:r>
              <w:rPr>
                <w:color w:val="000000" w:themeColor="text1"/>
              </w:rPr>
              <w:t>(wr</w:t>
            </w:r>
            <w:r w:rsidRPr="00133237">
              <w:rPr>
                <w:color w:val="000000" w:themeColor="text1"/>
              </w:rPr>
              <w:t>itten and spoken)</w:t>
            </w:r>
            <w:r w:rsidR="00F71E28">
              <w:rPr>
                <w:color w:val="000000" w:themeColor="text1"/>
              </w:rPr>
              <w:t xml:space="preserve"> and any other local languages</w:t>
            </w:r>
          </w:p>
          <w:p w14:paraId="6B478825" w14:textId="4CD3A577" w:rsidR="006C39E6" w:rsidRPr="00C07510" w:rsidRDefault="006C39E6" w:rsidP="000D79DF">
            <w:pPr>
              <w:spacing w:before="60" w:after="120"/>
              <w:rPr>
                <w:rFonts w:ascii="Calibri" w:hAnsi="Calibri" w:cs="Calibri"/>
                <w:i/>
                <w:iCs/>
                <w:sz w:val="22"/>
                <w:szCs w:val="22"/>
              </w:rPr>
            </w:pPr>
          </w:p>
        </w:tc>
      </w:tr>
    </w:tbl>
    <w:p w14:paraId="1068CAFD" w14:textId="77777777" w:rsidR="005C11CE" w:rsidRDefault="005C11CE" w:rsidP="000B71F6">
      <w:pPr>
        <w:spacing w:before="60" w:after="120"/>
        <w:rPr>
          <w:rFonts w:ascii="Calibri" w:hAnsi="Calibri" w:cs="Calibri"/>
          <w:b/>
          <w:sz w:val="22"/>
          <w:lang w:eastAsia="en-GB"/>
        </w:rPr>
      </w:pPr>
    </w:p>
    <w:p w14:paraId="252AE7CB" w14:textId="7EE0C815" w:rsidR="00617344" w:rsidRPr="00617344" w:rsidRDefault="00F733BA" w:rsidP="000B71F6">
      <w:pPr>
        <w:spacing w:before="60" w:after="120"/>
        <w:rPr>
          <w:rFonts w:ascii="Calibri" w:hAnsi="Calibri" w:cs="Calibri"/>
        </w:rPr>
      </w:pPr>
      <w:r w:rsidRPr="00C07510">
        <w:rPr>
          <w:rFonts w:ascii="Calibri" w:hAnsi="Calibri" w:cs="Calibri"/>
          <w:b/>
          <w:sz w:val="22"/>
          <w:lang w:eastAsia="en-GB"/>
        </w:rPr>
        <w:t>SAFER RECRUITMENT:</w:t>
      </w:r>
      <w:r w:rsidRPr="00C07510">
        <w:rPr>
          <w:rFonts w:ascii="Calibri" w:hAnsi="Calibri" w:cs="Calibri"/>
          <w:sz w:val="22"/>
          <w:lang w:eastAsia="en-GB"/>
        </w:rPr>
        <w:t xml:space="preserve"> </w:t>
      </w:r>
      <w:r w:rsidRPr="00F733BA">
        <w:rPr>
          <w:rFonts w:ascii="Calibri" w:hAnsi="Calibri" w:cs="Calibri"/>
          <w:sz w:val="22"/>
          <w:lang w:eastAsia="en-GB"/>
        </w:rPr>
        <w:t xml:space="preserve">Oxfam is committed to preventing any type of unwanted </w:t>
      </w:r>
      <w:proofErr w:type="spellStart"/>
      <w:r w:rsidRPr="00F733BA">
        <w:rPr>
          <w:rFonts w:ascii="Calibri" w:hAnsi="Calibri" w:cs="Calibri"/>
          <w:sz w:val="22"/>
          <w:lang w:eastAsia="en-GB"/>
        </w:rPr>
        <w:t>behavior</w:t>
      </w:r>
      <w:proofErr w:type="spellEnd"/>
      <w:r w:rsidRPr="00F733BA">
        <w:rPr>
          <w:rFonts w:ascii="Calibri" w:hAnsi="Calibri" w:cs="Calibri"/>
          <w:sz w:val="22"/>
          <w:lang w:eastAsia="en-GB"/>
        </w:rPr>
        <w:t xml:space="preserve"> at work including sexual harassment, exploitation and abuse, lack of integrity and financial misconduct; and promoting the welfare of children, young </w:t>
      </w:r>
      <w:proofErr w:type="gramStart"/>
      <w:r w:rsidRPr="00F733BA">
        <w:rPr>
          <w:rFonts w:ascii="Calibri" w:hAnsi="Calibri" w:cs="Calibri"/>
          <w:sz w:val="22"/>
          <w:lang w:eastAsia="en-GB"/>
        </w:rPr>
        <w:t>people</w:t>
      </w:r>
      <w:proofErr w:type="gramEnd"/>
      <w:r w:rsidRPr="00F733BA">
        <w:rPr>
          <w:rFonts w:ascii="Calibri" w:hAnsi="Calibri" w:cs="Calibri"/>
          <w:sz w:val="22"/>
          <w:lang w:eastAsia="en-GB"/>
        </w:rPr>
        <w:t xml:space="preserve"> and adults. Oxfam expects all staff and volunteers to share this commitment through our code of conduct. We place a high priority on ensuring that only those who share and demonstrate our values are recruited to work for us.</w:t>
      </w:r>
      <w:r>
        <w:rPr>
          <w:rFonts w:ascii="Calibri" w:hAnsi="Calibri" w:cs="Calibri"/>
          <w:sz w:val="22"/>
          <w:lang w:eastAsia="en-GB"/>
        </w:rPr>
        <w:t xml:space="preserve"> Offers</w:t>
      </w:r>
      <w:r w:rsidRPr="00F733BA">
        <w:rPr>
          <w:rFonts w:ascii="Calibri" w:hAnsi="Calibri" w:cs="Calibri"/>
          <w:sz w:val="22"/>
          <w:lang w:eastAsia="en-GB"/>
        </w:rPr>
        <w:t xml:space="preserve"> of employment will be subject to satisfactory references and appropriate screening checks, which can include criminal records and terrorism finance checks. </w:t>
      </w:r>
      <w:r w:rsidR="00617344">
        <w:rPr>
          <w:rFonts w:ascii="Calibri" w:hAnsi="Calibri" w:cs="Calibri"/>
        </w:rPr>
        <w:tab/>
      </w:r>
    </w:p>
    <w:sectPr w:rsidR="00617344" w:rsidRPr="00617344" w:rsidSect="0018076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4890" w14:textId="77777777" w:rsidR="00E30737" w:rsidRDefault="00E30737" w:rsidP="007A7571">
      <w:pPr>
        <w:spacing w:after="0" w:line="240" w:lineRule="auto"/>
      </w:pPr>
      <w:r>
        <w:separator/>
      </w:r>
    </w:p>
  </w:endnote>
  <w:endnote w:type="continuationSeparator" w:id="0">
    <w:p w14:paraId="0D7A79B1" w14:textId="77777777" w:rsidR="00E30737" w:rsidRDefault="00E30737" w:rsidP="007A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C8C1" w14:textId="07ABDD70" w:rsidR="007A7571" w:rsidRPr="00E90B3B" w:rsidRDefault="007A7571">
    <w:pPr>
      <w:pStyle w:val="Footer"/>
    </w:pPr>
    <w:r w:rsidRPr="00E90B3B">
      <w:t>Job profile template</w:t>
    </w:r>
    <w:r w:rsidR="00E90B3B" w:rsidRPr="00E90B3B">
      <w:t xml:space="preserve">– </w:t>
    </w:r>
    <w:r w:rsidR="00617344">
      <w:t>23.09.20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90FDB" w14:textId="77777777" w:rsidR="00E30737" w:rsidRDefault="00E30737" w:rsidP="007A7571">
      <w:pPr>
        <w:spacing w:after="0" w:line="240" w:lineRule="auto"/>
      </w:pPr>
      <w:r>
        <w:separator/>
      </w:r>
    </w:p>
  </w:footnote>
  <w:footnote w:type="continuationSeparator" w:id="0">
    <w:p w14:paraId="2E8C5B0A" w14:textId="77777777" w:rsidR="00E30737" w:rsidRDefault="00E30737" w:rsidP="007A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5461B" w14:textId="1B7B088B" w:rsidR="007A7571" w:rsidRDefault="007A7571">
    <w:pPr>
      <w:pStyle w:val="Header"/>
    </w:pPr>
  </w:p>
  <w:p w14:paraId="697E4523" w14:textId="77777777" w:rsidR="007A7571" w:rsidRDefault="007A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9E8305"/>
    <w:multiLevelType w:val="hybridMultilevel"/>
    <w:tmpl w:val="A5807C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505EE"/>
    <w:multiLevelType w:val="hybridMultilevel"/>
    <w:tmpl w:val="69C4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37C2"/>
    <w:multiLevelType w:val="hybridMultilevel"/>
    <w:tmpl w:val="86FC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A61BE"/>
    <w:multiLevelType w:val="hybridMultilevel"/>
    <w:tmpl w:val="7C349F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AA22D6"/>
    <w:multiLevelType w:val="hybridMultilevel"/>
    <w:tmpl w:val="9968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B16BB"/>
    <w:multiLevelType w:val="hybridMultilevel"/>
    <w:tmpl w:val="756E70DA"/>
    <w:lvl w:ilvl="0" w:tplc="DE8C5B88">
      <w:start w:val="1"/>
      <w:numFmt w:val="bullet"/>
      <w:lvlText w:val="·"/>
      <w:lvlJc w:val="left"/>
      <w:pPr>
        <w:ind w:left="720" w:hanging="360"/>
      </w:pPr>
      <w:rPr>
        <w:rFonts w:ascii="Symbol" w:hAnsi="Symbol" w:hint="default"/>
      </w:rPr>
    </w:lvl>
    <w:lvl w:ilvl="1" w:tplc="C26C3178">
      <w:start w:val="1"/>
      <w:numFmt w:val="bullet"/>
      <w:lvlText w:val="o"/>
      <w:lvlJc w:val="left"/>
      <w:pPr>
        <w:ind w:left="1440" w:hanging="360"/>
      </w:pPr>
      <w:rPr>
        <w:rFonts w:ascii="Courier New" w:hAnsi="Courier New" w:hint="default"/>
      </w:rPr>
    </w:lvl>
    <w:lvl w:ilvl="2" w:tplc="3AD67FE8">
      <w:start w:val="1"/>
      <w:numFmt w:val="bullet"/>
      <w:lvlText w:val=""/>
      <w:lvlJc w:val="left"/>
      <w:pPr>
        <w:ind w:left="2160" w:hanging="360"/>
      </w:pPr>
      <w:rPr>
        <w:rFonts w:ascii="Wingdings" w:hAnsi="Wingdings" w:hint="default"/>
      </w:rPr>
    </w:lvl>
    <w:lvl w:ilvl="3" w:tplc="5A584396">
      <w:start w:val="1"/>
      <w:numFmt w:val="bullet"/>
      <w:lvlText w:val=""/>
      <w:lvlJc w:val="left"/>
      <w:pPr>
        <w:ind w:left="2880" w:hanging="360"/>
      </w:pPr>
      <w:rPr>
        <w:rFonts w:ascii="Symbol" w:hAnsi="Symbol" w:hint="default"/>
      </w:rPr>
    </w:lvl>
    <w:lvl w:ilvl="4" w:tplc="6312239E">
      <w:start w:val="1"/>
      <w:numFmt w:val="bullet"/>
      <w:lvlText w:val="o"/>
      <w:lvlJc w:val="left"/>
      <w:pPr>
        <w:ind w:left="3600" w:hanging="360"/>
      </w:pPr>
      <w:rPr>
        <w:rFonts w:ascii="Courier New" w:hAnsi="Courier New" w:hint="default"/>
      </w:rPr>
    </w:lvl>
    <w:lvl w:ilvl="5" w:tplc="CCB4BC82">
      <w:start w:val="1"/>
      <w:numFmt w:val="bullet"/>
      <w:lvlText w:val=""/>
      <w:lvlJc w:val="left"/>
      <w:pPr>
        <w:ind w:left="4320" w:hanging="360"/>
      </w:pPr>
      <w:rPr>
        <w:rFonts w:ascii="Wingdings" w:hAnsi="Wingdings" w:hint="default"/>
      </w:rPr>
    </w:lvl>
    <w:lvl w:ilvl="6" w:tplc="3C96A80E">
      <w:start w:val="1"/>
      <w:numFmt w:val="bullet"/>
      <w:lvlText w:val=""/>
      <w:lvlJc w:val="left"/>
      <w:pPr>
        <w:ind w:left="5040" w:hanging="360"/>
      </w:pPr>
      <w:rPr>
        <w:rFonts w:ascii="Symbol" w:hAnsi="Symbol" w:hint="default"/>
      </w:rPr>
    </w:lvl>
    <w:lvl w:ilvl="7" w:tplc="A3FA5AB6">
      <w:start w:val="1"/>
      <w:numFmt w:val="bullet"/>
      <w:lvlText w:val="o"/>
      <w:lvlJc w:val="left"/>
      <w:pPr>
        <w:ind w:left="5760" w:hanging="360"/>
      </w:pPr>
      <w:rPr>
        <w:rFonts w:ascii="Courier New" w:hAnsi="Courier New" w:hint="default"/>
      </w:rPr>
    </w:lvl>
    <w:lvl w:ilvl="8" w:tplc="5EC065EC">
      <w:start w:val="1"/>
      <w:numFmt w:val="bullet"/>
      <w:lvlText w:val=""/>
      <w:lvlJc w:val="left"/>
      <w:pPr>
        <w:ind w:left="6480" w:hanging="360"/>
      </w:pPr>
      <w:rPr>
        <w:rFonts w:ascii="Wingdings" w:hAnsi="Wingdings" w:hint="default"/>
      </w:rPr>
    </w:lvl>
  </w:abstractNum>
  <w:abstractNum w:abstractNumId="6" w15:restartNumberingAfterBreak="0">
    <w:nsid w:val="29571668"/>
    <w:multiLevelType w:val="hybridMultilevel"/>
    <w:tmpl w:val="9D92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13AFA"/>
    <w:multiLevelType w:val="hybridMultilevel"/>
    <w:tmpl w:val="CCBAB6B4"/>
    <w:lvl w:ilvl="0" w:tplc="4302304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2040F"/>
    <w:multiLevelType w:val="hybridMultilevel"/>
    <w:tmpl w:val="C92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25567"/>
    <w:multiLevelType w:val="hybridMultilevel"/>
    <w:tmpl w:val="3D0E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B75DA"/>
    <w:multiLevelType w:val="hybridMultilevel"/>
    <w:tmpl w:val="05701866"/>
    <w:lvl w:ilvl="0" w:tplc="5030CFB2">
      <w:start w:val="1"/>
      <w:numFmt w:val="decimal"/>
      <w:lvlText w:val="%1."/>
      <w:lvlJc w:val="left"/>
      <w:pPr>
        <w:ind w:left="720" w:hanging="360"/>
      </w:pPr>
    </w:lvl>
    <w:lvl w:ilvl="1" w:tplc="9C70F508">
      <w:start w:val="1"/>
      <w:numFmt w:val="lowerLetter"/>
      <w:lvlText w:val="%2."/>
      <w:lvlJc w:val="left"/>
      <w:pPr>
        <w:ind w:left="1440" w:hanging="360"/>
      </w:pPr>
    </w:lvl>
    <w:lvl w:ilvl="2" w:tplc="C3FAC3A0">
      <w:start w:val="1"/>
      <w:numFmt w:val="lowerRoman"/>
      <w:lvlText w:val="%3."/>
      <w:lvlJc w:val="right"/>
      <w:pPr>
        <w:ind w:left="2160" w:hanging="180"/>
      </w:pPr>
    </w:lvl>
    <w:lvl w:ilvl="3" w:tplc="5CFEF8C4">
      <w:start w:val="1"/>
      <w:numFmt w:val="decimal"/>
      <w:lvlText w:val="%4."/>
      <w:lvlJc w:val="left"/>
      <w:pPr>
        <w:ind w:left="2880" w:hanging="360"/>
      </w:pPr>
    </w:lvl>
    <w:lvl w:ilvl="4" w:tplc="2E0498B4">
      <w:start w:val="1"/>
      <w:numFmt w:val="lowerLetter"/>
      <w:lvlText w:val="%5."/>
      <w:lvlJc w:val="left"/>
      <w:pPr>
        <w:ind w:left="3600" w:hanging="360"/>
      </w:pPr>
    </w:lvl>
    <w:lvl w:ilvl="5" w:tplc="A3A6B496">
      <w:start w:val="1"/>
      <w:numFmt w:val="lowerRoman"/>
      <w:lvlText w:val="%6."/>
      <w:lvlJc w:val="right"/>
      <w:pPr>
        <w:ind w:left="4320" w:hanging="180"/>
      </w:pPr>
    </w:lvl>
    <w:lvl w:ilvl="6" w:tplc="74B4785C">
      <w:start w:val="1"/>
      <w:numFmt w:val="decimal"/>
      <w:lvlText w:val="%7."/>
      <w:lvlJc w:val="left"/>
      <w:pPr>
        <w:ind w:left="5040" w:hanging="360"/>
      </w:pPr>
    </w:lvl>
    <w:lvl w:ilvl="7" w:tplc="07D82856">
      <w:start w:val="1"/>
      <w:numFmt w:val="lowerLetter"/>
      <w:lvlText w:val="%8."/>
      <w:lvlJc w:val="left"/>
      <w:pPr>
        <w:ind w:left="5760" w:hanging="360"/>
      </w:pPr>
    </w:lvl>
    <w:lvl w:ilvl="8" w:tplc="C07CDF30">
      <w:start w:val="1"/>
      <w:numFmt w:val="lowerRoman"/>
      <w:lvlText w:val="%9."/>
      <w:lvlJc w:val="right"/>
      <w:pPr>
        <w:ind w:left="6480" w:hanging="180"/>
      </w:pPr>
    </w:lvl>
  </w:abstractNum>
  <w:abstractNum w:abstractNumId="11" w15:restartNumberingAfterBreak="0">
    <w:nsid w:val="2F0C2C0A"/>
    <w:multiLevelType w:val="hybridMultilevel"/>
    <w:tmpl w:val="69E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F7A8C"/>
    <w:multiLevelType w:val="hybridMultilevel"/>
    <w:tmpl w:val="825F38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3F31ED"/>
    <w:multiLevelType w:val="hybridMultilevel"/>
    <w:tmpl w:val="29BE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F04D0"/>
    <w:multiLevelType w:val="hybridMultilevel"/>
    <w:tmpl w:val="9644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64FBB"/>
    <w:multiLevelType w:val="hybridMultilevel"/>
    <w:tmpl w:val="0F5ED6A4"/>
    <w:lvl w:ilvl="0" w:tplc="7C124B8E">
      <w:start w:val="1"/>
      <w:numFmt w:val="decimal"/>
      <w:lvlText w:val="%1."/>
      <w:lvlJc w:val="left"/>
      <w:pPr>
        <w:ind w:left="1080" w:hanging="360"/>
      </w:pPr>
      <w:rPr>
        <w:rFonts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453DAE"/>
    <w:multiLevelType w:val="hybridMultilevel"/>
    <w:tmpl w:val="E1C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71B75"/>
    <w:multiLevelType w:val="hybridMultilevel"/>
    <w:tmpl w:val="3E7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06761"/>
    <w:multiLevelType w:val="hybridMultilevel"/>
    <w:tmpl w:val="4F8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27E76"/>
    <w:multiLevelType w:val="hybridMultilevel"/>
    <w:tmpl w:val="747AD9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A263F85"/>
    <w:multiLevelType w:val="hybridMultilevel"/>
    <w:tmpl w:val="18A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808E6"/>
    <w:multiLevelType w:val="hybridMultilevel"/>
    <w:tmpl w:val="7D68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93EC8"/>
    <w:multiLevelType w:val="hybridMultilevel"/>
    <w:tmpl w:val="791483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430501"/>
    <w:multiLevelType w:val="hybridMultilevel"/>
    <w:tmpl w:val="2BD878D6"/>
    <w:lvl w:ilvl="0" w:tplc="472E2770">
      <w:start w:val="1"/>
      <w:numFmt w:val="bullet"/>
      <w:lvlText w:val=""/>
      <w:lvlJc w:val="left"/>
      <w:pPr>
        <w:tabs>
          <w:tab w:val="num" w:pos="720"/>
        </w:tabs>
        <w:ind w:left="720" w:hanging="360"/>
      </w:pPr>
      <w:rPr>
        <w:rFonts w:ascii="Symbol" w:hAnsi="Symbol" w:hint="default"/>
        <w:sz w:val="20"/>
      </w:rPr>
    </w:lvl>
    <w:lvl w:ilvl="1" w:tplc="3FD42B52" w:tentative="1">
      <w:start w:val="1"/>
      <w:numFmt w:val="bullet"/>
      <w:lvlText w:val="o"/>
      <w:lvlJc w:val="left"/>
      <w:pPr>
        <w:tabs>
          <w:tab w:val="num" w:pos="1440"/>
        </w:tabs>
        <w:ind w:left="1440" w:hanging="360"/>
      </w:pPr>
      <w:rPr>
        <w:rFonts w:ascii="Courier New" w:hAnsi="Courier New" w:hint="default"/>
        <w:sz w:val="20"/>
      </w:rPr>
    </w:lvl>
    <w:lvl w:ilvl="2" w:tplc="55FE7ACE" w:tentative="1">
      <w:start w:val="1"/>
      <w:numFmt w:val="bullet"/>
      <w:lvlText w:val=""/>
      <w:lvlJc w:val="left"/>
      <w:pPr>
        <w:tabs>
          <w:tab w:val="num" w:pos="2160"/>
        </w:tabs>
        <w:ind w:left="2160" w:hanging="360"/>
      </w:pPr>
      <w:rPr>
        <w:rFonts w:ascii="Wingdings" w:hAnsi="Wingdings" w:hint="default"/>
        <w:sz w:val="20"/>
      </w:rPr>
    </w:lvl>
    <w:lvl w:ilvl="3" w:tplc="AD366A12" w:tentative="1">
      <w:start w:val="1"/>
      <w:numFmt w:val="bullet"/>
      <w:lvlText w:val=""/>
      <w:lvlJc w:val="left"/>
      <w:pPr>
        <w:tabs>
          <w:tab w:val="num" w:pos="2880"/>
        </w:tabs>
        <w:ind w:left="2880" w:hanging="360"/>
      </w:pPr>
      <w:rPr>
        <w:rFonts w:ascii="Wingdings" w:hAnsi="Wingdings" w:hint="default"/>
        <w:sz w:val="20"/>
      </w:rPr>
    </w:lvl>
    <w:lvl w:ilvl="4" w:tplc="C276C51E" w:tentative="1">
      <w:start w:val="1"/>
      <w:numFmt w:val="bullet"/>
      <w:lvlText w:val=""/>
      <w:lvlJc w:val="left"/>
      <w:pPr>
        <w:tabs>
          <w:tab w:val="num" w:pos="3600"/>
        </w:tabs>
        <w:ind w:left="3600" w:hanging="360"/>
      </w:pPr>
      <w:rPr>
        <w:rFonts w:ascii="Wingdings" w:hAnsi="Wingdings" w:hint="default"/>
        <w:sz w:val="20"/>
      </w:rPr>
    </w:lvl>
    <w:lvl w:ilvl="5" w:tplc="BB1C97AE" w:tentative="1">
      <w:start w:val="1"/>
      <w:numFmt w:val="bullet"/>
      <w:lvlText w:val=""/>
      <w:lvlJc w:val="left"/>
      <w:pPr>
        <w:tabs>
          <w:tab w:val="num" w:pos="4320"/>
        </w:tabs>
        <w:ind w:left="4320" w:hanging="360"/>
      </w:pPr>
      <w:rPr>
        <w:rFonts w:ascii="Wingdings" w:hAnsi="Wingdings" w:hint="default"/>
        <w:sz w:val="20"/>
      </w:rPr>
    </w:lvl>
    <w:lvl w:ilvl="6" w:tplc="8D58F6E2" w:tentative="1">
      <w:start w:val="1"/>
      <w:numFmt w:val="bullet"/>
      <w:lvlText w:val=""/>
      <w:lvlJc w:val="left"/>
      <w:pPr>
        <w:tabs>
          <w:tab w:val="num" w:pos="5040"/>
        </w:tabs>
        <w:ind w:left="5040" w:hanging="360"/>
      </w:pPr>
      <w:rPr>
        <w:rFonts w:ascii="Wingdings" w:hAnsi="Wingdings" w:hint="default"/>
        <w:sz w:val="20"/>
      </w:rPr>
    </w:lvl>
    <w:lvl w:ilvl="7" w:tplc="BD7CE5D4" w:tentative="1">
      <w:start w:val="1"/>
      <w:numFmt w:val="bullet"/>
      <w:lvlText w:val=""/>
      <w:lvlJc w:val="left"/>
      <w:pPr>
        <w:tabs>
          <w:tab w:val="num" w:pos="5760"/>
        </w:tabs>
        <w:ind w:left="5760" w:hanging="360"/>
      </w:pPr>
      <w:rPr>
        <w:rFonts w:ascii="Wingdings" w:hAnsi="Wingdings" w:hint="default"/>
        <w:sz w:val="20"/>
      </w:rPr>
    </w:lvl>
    <w:lvl w:ilvl="8" w:tplc="B192BC9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C0749"/>
    <w:multiLevelType w:val="hybridMultilevel"/>
    <w:tmpl w:val="3E1E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67C66"/>
    <w:multiLevelType w:val="hybridMultilevel"/>
    <w:tmpl w:val="32A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30A34"/>
    <w:multiLevelType w:val="hybridMultilevel"/>
    <w:tmpl w:val="386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0"/>
  </w:num>
  <w:num w:numId="4">
    <w:abstractNumId w:val="11"/>
  </w:num>
  <w:num w:numId="5">
    <w:abstractNumId w:val="18"/>
  </w:num>
  <w:num w:numId="6">
    <w:abstractNumId w:val="17"/>
  </w:num>
  <w:num w:numId="7">
    <w:abstractNumId w:val="15"/>
  </w:num>
  <w:num w:numId="8">
    <w:abstractNumId w:val="6"/>
  </w:num>
  <w:num w:numId="9">
    <w:abstractNumId w:val="4"/>
  </w:num>
  <w:num w:numId="10">
    <w:abstractNumId w:val="14"/>
  </w:num>
  <w:num w:numId="11">
    <w:abstractNumId w:val="19"/>
  </w:num>
  <w:num w:numId="12">
    <w:abstractNumId w:val="0"/>
  </w:num>
  <w:num w:numId="13">
    <w:abstractNumId w:val="12"/>
  </w:num>
  <w:num w:numId="14">
    <w:abstractNumId w:val="3"/>
  </w:num>
  <w:num w:numId="15">
    <w:abstractNumId w:val="21"/>
  </w:num>
  <w:num w:numId="16">
    <w:abstractNumId w:val="7"/>
  </w:num>
  <w:num w:numId="17">
    <w:abstractNumId w:val="24"/>
  </w:num>
  <w:num w:numId="18">
    <w:abstractNumId w:val="2"/>
  </w:num>
  <w:num w:numId="19">
    <w:abstractNumId w:val="8"/>
  </w:num>
  <w:num w:numId="20">
    <w:abstractNumId w:val="1"/>
  </w:num>
  <w:num w:numId="21">
    <w:abstractNumId w:val="13"/>
  </w:num>
  <w:num w:numId="22">
    <w:abstractNumId w:val="9"/>
  </w:num>
  <w:num w:numId="23">
    <w:abstractNumId w:val="26"/>
  </w:num>
  <w:num w:numId="24">
    <w:abstractNumId w:val="16"/>
  </w:num>
  <w:num w:numId="25">
    <w:abstractNumId w:val="22"/>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7"/>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C9"/>
    <w:rsid w:val="00015927"/>
    <w:rsid w:val="0005105C"/>
    <w:rsid w:val="00053DB6"/>
    <w:rsid w:val="00064E99"/>
    <w:rsid w:val="00065179"/>
    <w:rsid w:val="000825C1"/>
    <w:rsid w:val="000A7836"/>
    <w:rsid w:val="000B17B6"/>
    <w:rsid w:val="000B47AB"/>
    <w:rsid w:val="000B71F6"/>
    <w:rsid w:val="000B7D56"/>
    <w:rsid w:val="000C4202"/>
    <w:rsid w:val="000D6414"/>
    <w:rsid w:val="000D79DF"/>
    <w:rsid w:val="000E6640"/>
    <w:rsid w:val="00114BD4"/>
    <w:rsid w:val="001178AA"/>
    <w:rsid w:val="00123047"/>
    <w:rsid w:val="00153D91"/>
    <w:rsid w:val="00180768"/>
    <w:rsid w:val="0019184E"/>
    <w:rsid w:val="00193003"/>
    <w:rsid w:val="001A0F5D"/>
    <w:rsid w:val="001E720B"/>
    <w:rsid w:val="002232DD"/>
    <w:rsid w:val="002D1891"/>
    <w:rsid w:val="002F6271"/>
    <w:rsid w:val="00302F79"/>
    <w:rsid w:val="00306723"/>
    <w:rsid w:val="00312398"/>
    <w:rsid w:val="0032131B"/>
    <w:rsid w:val="003432F3"/>
    <w:rsid w:val="00344676"/>
    <w:rsid w:val="00346C4A"/>
    <w:rsid w:val="00362ACD"/>
    <w:rsid w:val="00385F1C"/>
    <w:rsid w:val="00387D8F"/>
    <w:rsid w:val="00391137"/>
    <w:rsid w:val="00396CE7"/>
    <w:rsid w:val="003B6788"/>
    <w:rsid w:val="003F177B"/>
    <w:rsid w:val="00421476"/>
    <w:rsid w:val="00422D6F"/>
    <w:rsid w:val="004470F8"/>
    <w:rsid w:val="00447EA4"/>
    <w:rsid w:val="004603B5"/>
    <w:rsid w:val="004731C9"/>
    <w:rsid w:val="004950F7"/>
    <w:rsid w:val="004B4D99"/>
    <w:rsid w:val="004B53B2"/>
    <w:rsid w:val="004D0B10"/>
    <w:rsid w:val="004D2EBF"/>
    <w:rsid w:val="004E0EAA"/>
    <w:rsid w:val="004E58B5"/>
    <w:rsid w:val="00502F35"/>
    <w:rsid w:val="00505A40"/>
    <w:rsid w:val="00506617"/>
    <w:rsid w:val="00510A98"/>
    <w:rsid w:val="00514253"/>
    <w:rsid w:val="005145A7"/>
    <w:rsid w:val="00523700"/>
    <w:rsid w:val="0053632D"/>
    <w:rsid w:val="00562D59"/>
    <w:rsid w:val="00573439"/>
    <w:rsid w:val="005916A2"/>
    <w:rsid w:val="005A295F"/>
    <w:rsid w:val="005C11CE"/>
    <w:rsid w:val="005D762A"/>
    <w:rsid w:val="005E3BEB"/>
    <w:rsid w:val="005F1879"/>
    <w:rsid w:val="0060299B"/>
    <w:rsid w:val="006032D4"/>
    <w:rsid w:val="00617344"/>
    <w:rsid w:val="006247E1"/>
    <w:rsid w:val="006258E5"/>
    <w:rsid w:val="00625C65"/>
    <w:rsid w:val="0065081F"/>
    <w:rsid w:val="0066793E"/>
    <w:rsid w:val="00677257"/>
    <w:rsid w:val="00680E3E"/>
    <w:rsid w:val="0068108D"/>
    <w:rsid w:val="00691255"/>
    <w:rsid w:val="006915FB"/>
    <w:rsid w:val="006A492D"/>
    <w:rsid w:val="006C39E6"/>
    <w:rsid w:val="006D1D6A"/>
    <w:rsid w:val="006E6029"/>
    <w:rsid w:val="007069DA"/>
    <w:rsid w:val="00756C8F"/>
    <w:rsid w:val="007609DB"/>
    <w:rsid w:val="00772F40"/>
    <w:rsid w:val="00794D20"/>
    <w:rsid w:val="00796B2D"/>
    <w:rsid w:val="00797FFD"/>
    <w:rsid w:val="007A7571"/>
    <w:rsid w:val="007F0968"/>
    <w:rsid w:val="0080411A"/>
    <w:rsid w:val="00812645"/>
    <w:rsid w:val="00816C19"/>
    <w:rsid w:val="0083344A"/>
    <w:rsid w:val="008569DB"/>
    <w:rsid w:val="008C585D"/>
    <w:rsid w:val="008C740C"/>
    <w:rsid w:val="008D61FF"/>
    <w:rsid w:val="008F31D3"/>
    <w:rsid w:val="00902D73"/>
    <w:rsid w:val="00921D1E"/>
    <w:rsid w:val="00926E4C"/>
    <w:rsid w:val="0093300C"/>
    <w:rsid w:val="0097457A"/>
    <w:rsid w:val="00984197"/>
    <w:rsid w:val="009951A6"/>
    <w:rsid w:val="009B0528"/>
    <w:rsid w:val="009E2A41"/>
    <w:rsid w:val="009F7BDC"/>
    <w:rsid w:val="00A57C0C"/>
    <w:rsid w:val="00A722BB"/>
    <w:rsid w:val="00A9111C"/>
    <w:rsid w:val="00AB642C"/>
    <w:rsid w:val="00AD3ED2"/>
    <w:rsid w:val="00AD74F8"/>
    <w:rsid w:val="00AE3C6B"/>
    <w:rsid w:val="00AF2D9A"/>
    <w:rsid w:val="00AF5E82"/>
    <w:rsid w:val="00B01D56"/>
    <w:rsid w:val="00B1162B"/>
    <w:rsid w:val="00B30530"/>
    <w:rsid w:val="00B33964"/>
    <w:rsid w:val="00B4241D"/>
    <w:rsid w:val="00B46FD3"/>
    <w:rsid w:val="00B5413A"/>
    <w:rsid w:val="00B63EBB"/>
    <w:rsid w:val="00B6576B"/>
    <w:rsid w:val="00B71519"/>
    <w:rsid w:val="00B77662"/>
    <w:rsid w:val="00B846CB"/>
    <w:rsid w:val="00B8666B"/>
    <w:rsid w:val="00B92006"/>
    <w:rsid w:val="00BA0E66"/>
    <w:rsid w:val="00BB2047"/>
    <w:rsid w:val="00BB5B7D"/>
    <w:rsid w:val="00BD2252"/>
    <w:rsid w:val="00BD3526"/>
    <w:rsid w:val="00BD37BC"/>
    <w:rsid w:val="00BE7070"/>
    <w:rsid w:val="00C07510"/>
    <w:rsid w:val="00C120A1"/>
    <w:rsid w:val="00C16AA8"/>
    <w:rsid w:val="00C24C7E"/>
    <w:rsid w:val="00C51CAB"/>
    <w:rsid w:val="00C62E9C"/>
    <w:rsid w:val="00C67BB6"/>
    <w:rsid w:val="00C7252F"/>
    <w:rsid w:val="00C759A6"/>
    <w:rsid w:val="00C94CBB"/>
    <w:rsid w:val="00CA0936"/>
    <w:rsid w:val="00CC04B1"/>
    <w:rsid w:val="00CD34A0"/>
    <w:rsid w:val="00CE18E1"/>
    <w:rsid w:val="00CF06FC"/>
    <w:rsid w:val="00CF1EFD"/>
    <w:rsid w:val="00CF3BC9"/>
    <w:rsid w:val="00CF6680"/>
    <w:rsid w:val="00D22A1A"/>
    <w:rsid w:val="00D31E10"/>
    <w:rsid w:val="00D47F8D"/>
    <w:rsid w:val="00D617AB"/>
    <w:rsid w:val="00D978E3"/>
    <w:rsid w:val="00DA2E91"/>
    <w:rsid w:val="00DB774B"/>
    <w:rsid w:val="00DC1AF1"/>
    <w:rsid w:val="00DC1BF2"/>
    <w:rsid w:val="00DF2FF1"/>
    <w:rsid w:val="00DF48EF"/>
    <w:rsid w:val="00E00931"/>
    <w:rsid w:val="00E053B6"/>
    <w:rsid w:val="00E30737"/>
    <w:rsid w:val="00E40945"/>
    <w:rsid w:val="00E51243"/>
    <w:rsid w:val="00E760CB"/>
    <w:rsid w:val="00E77717"/>
    <w:rsid w:val="00E77D00"/>
    <w:rsid w:val="00E80E4B"/>
    <w:rsid w:val="00E861E9"/>
    <w:rsid w:val="00E90B3B"/>
    <w:rsid w:val="00EA7E5E"/>
    <w:rsid w:val="00EC3EF5"/>
    <w:rsid w:val="00EC4125"/>
    <w:rsid w:val="00EF1041"/>
    <w:rsid w:val="00EF47BE"/>
    <w:rsid w:val="00F24ADE"/>
    <w:rsid w:val="00F504A3"/>
    <w:rsid w:val="00F56304"/>
    <w:rsid w:val="00F569D3"/>
    <w:rsid w:val="00F61F77"/>
    <w:rsid w:val="00F71E28"/>
    <w:rsid w:val="00F733BA"/>
    <w:rsid w:val="00F82C57"/>
    <w:rsid w:val="00F961DC"/>
    <w:rsid w:val="00FB20D0"/>
    <w:rsid w:val="00FC5653"/>
    <w:rsid w:val="00FD1A37"/>
    <w:rsid w:val="00FE2A57"/>
    <w:rsid w:val="0695F69D"/>
    <w:rsid w:val="1EC4A510"/>
    <w:rsid w:val="269179F9"/>
    <w:rsid w:val="3137E2BA"/>
    <w:rsid w:val="32EA8E9A"/>
    <w:rsid w:val="3A68A89C"/>
    <w:rsid w:val="45558808"/>
    <w:rsid w:val="4CC9EB6D"/>
    <w:rsid w:val="4E57A53B"/>
    <w:rsid w:val="619F8124"/>
    <w:rsid w:val="6C962AFA"/>
    <w:rsid w:val="720CE88B"/>
    <w:rsid w:val="7BA0C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576F"/>
  <w15:chartTrackingRefBased/>
  <w15:docId w15:val="{CC41D2B5-7B8E-4ABD-A9B8-C3F5D278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4731C9"/>
    <w:pPr>
      <w:spacing w:after="200" w:line="276" w:lineRule="auto"/>
    </w:pPr>
    <w:rPr>
      <w:rFonts w:ascii="Arial" w:eastAsia="Calibri" w:hAnsi="Arial" w:cs="Arial"/>
      <w:sz w:val="20"/>
    </w:rPr>
  </w:style>
  <w:style w:type="paragraph" w:styleId="Heading1">
    <w:name w:val="heading 1"/>
    <w:aliases w:val="Oxfam1"/>
    <w:basedOn w:val="Normal"/>
    <w:next w:val="Normal"/>
    <w:link w:val="Heading1Char"/>
    <w:uiPriority w:val="1"/>
    <w:qFormat/>
    <w:rsid w:val="004731C9"/>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basedOn w:val="Normal"/>
    <w:next w:val="Normal"/>
    <w:link w:val="Heading2Char"/>
    <w:uiPriority w:val="9"/>
    <w:unhideWhenUsed/>
    <w:qFormat/>
    <w:rsid w:val="0057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rsid w:val="004731C9"/>
    <w:rPr>
      <w:rFonts w:ascii="Arial" w:eastAsia="Times New Roman" w:hAnsi="Arial" w:cs="Arial"/>
      <w:b/>
      <w:bCs/>
      <w:caps/>
      <w:color w:val="FFFFFF" w:themeColor="background1"/>
      <w:kern w:val="32"/>
      <w:sz w:val="28"/>
      <w:szCs w:val="28"/>
    </w:rPr>
  </w:style>
  <w:style w:type="paragraph" w:styleId="Title">
    <w:name w:val="Title"/>
    <w:basedOn w:val="Normal"/>
    <w:next w:val="Normal"/>
    <w:link w:val="TitleChar"/>
    <w:uiPriority w:val="2"/>
    <w:qFormat/>
    <w:rsid w:val="004731C9"/>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rsid w:val="004731C9"/>
    <w:rPr>
      <w:rFonts w:ascii="Arial" w:eastAsia="Times New Roman" w:hAnsi="Arial" w:cs="Arial"/>
      <w:caps/>
      <w:color w:val="61A534"/>
      <w:spacing w:val="5"/>
      <w:kern w:val="28"/>
      <w:sz w:val="72"/>
      <w:szCs w:val="72"/>
    </w:rPr>
  </w:style>
  <w:style w:type="table" w:styleId="TableGrid">
    <w:name w:val="Table Grid"/>
    <w:basedOn w:val="TableNormal"/>
    <w:rsid w:val="004731C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731C9"/>
    <w:rPr>
      <w:sz w:val="16"/>
      <w:szCs w:val="16"/>
    </w:rPr>
  </w:style>
  <w:style w:type="paragraph" w:styleId="CommentText">
    <w:name w:val="annotation text"/>
    <w:basedOn w:val="Normal"/>
    <w:link w:val="CommentTextChar"/>
    <w:rsid w:val="004731C9"/>
    <w:pPr>
      <w:spacing w:line="240" w:lineRule="auto"/>
    </w:pPr>
    <w:rPr>
      <w:szCs w:val="20"/>
    </w:rPr>
  </w:style>
  <w:style w:type="character" w:customStyle="1" w:styleId="CommentTextChar">
    <w:name w:val="Comment Text Char"/>
    <w:basedOn w:val="DefaultParagraphFont"/>
    <w:link w:val="CommentText"/>
    <w:rsid w:val="004731C9"/>
    <w:rPr>
      <w:rFonts w:ascii="Arial" w:eastAsia="Calibri" w:hAnsi="Arial" w:cs="Arial"/>
      <w:sz w:val="20"/>
      <w:szCs w:val="20"/>
    </w:rPr>
  </w:style>
  <w:style w:type="paragraph" w:styleId="BalloonText">
    <w:name w:val="Balloon Text"/>
    <w:basedOn w:val="Normal"/>
    <w:link w:val="BalloonTextChar"/>
    <w:uiPriority w:val="99"/>
    <w:semiHidden/>
    <w:unhideWhenUsed/>
    <w:rsid w:val="0047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C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731C9"/>
    <w:rPr>
      <w:b/>
      <w:bCs/>
    </w:rPr>
  </w:style>
  <w:style w:type="character" w:customStyle="1" w:styleId="CommentSubjectChar">
    <w:name w:val="Comment Subject Char"/>
    <w:basedOn w:val="CommentTextChar"/>
    <w:link w:val="CommentSubject"/>
    <w:uiPriority w:val="99"/>
    <w:semiHidden/>
    <w:rsid w:val="004731C9"/>
    <w:rPr>
      <w:rFonts w:ascii="Arial" w:eastAsia="Calibri" w:hAnsi="Arial" w:cs="Arial"/>
      <w:b/>
      <w:bCs/>
      <w:sz w:val="20"/>
      <w:szCs w:val="20"/>
    </w:rPr>
  </w:style>
  <w:style w:type="paragraph" w:styleId="ListParagraph">
    <w:name w:val="List Paragraph"/>
    <w:basedOn w:val="Normal"/>
    <w:link w:val="ListParagraphChar"/>
    <w:uiPriority w:val="34"/>
    <w:qFormat/>
    <w:rsid w:val="00E40945"/>
    <w:pPr>
      <w:ind w:left="720"/>
      <w:contextualSpacing/>
    </w:pPr>
  </w:style>
  <w:style w:type="character" w:styleId="PlaceholderText">
    <w:name w:val="Placeholder Text"/>
    <w:basedOn w:val="DefaultParagraphFont"/>
    <w:uiPriority w:val="99"/>
    <w:semiHidden/>
    <w:rsid w:val="00FC5653"/>
    <w:rPr>
      <w:color w:val="808080"/>
    </w:rPr>
  </w:style>
  <w:style w:type="paragraph" w:styleId="Header">
    <w:name w:val="header"/>
    <w:basedOn w:val="Normal"/>
    <w:link w:val="HeaderChar"/>
    <w:uiPriority w:val="99"/>
    <w:unhideWhenUsed/>
    <w:rsid w:val="007A7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71"/>
    <w:rPr>
      <w:rFonts w:ascii="Arial" w:eastAsia="Calibri" w:hAnsi="Arial" w:cs="Arial"/>
      <w:sz w:val="20"/>
    </w:rPr>
  </w:style>
  <w:style w:type="paragraph" w:styleId="Footer">
    <w:name w:val="footer"/>
    <w:basedOn w:val="Normal"/>
    <w:link w:val="FooterChar"/>
    <w:uiPriority w:val="99"/>
    <w:unhideWhenUsed/>
    <w:rsid w:val="007A7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71"/>
    <w:rPr>
      <w:rFonts w:ascii="Arial" w:eastAsia="Calibri" w:hAnsi="Arial" w:cs="Arial"/>
      <w:sz w:val="20"/>
    </w:rPr>
  </w:style>
  <w:style w:type="character" w:styleId="Hyperlink">
    <w:name w:val="Hyperlink"/>
    <w:basedOn w:val="DefaultParagraphFont"/>
    <w:uiPriority w:val="99"/>
    <w:unhideWhenUsed/>
    <w:rsid w:val="00EA7E5E"/>
    <w:rPr>
      <w:color w:val="0563C1" w:themeColor="hyperlink"/>
      <w:u w:val="single"/>
    </w:rPr>
  </w:style>
  <w:style w:type="character" w:customStyle="1" w:styleId="UnresolvedMention1">
    <w:name w:val="Unresolved Mention1"/>
    <w:basedOn w:val="DefaultParagraphFont"/>
    <w:uiPriority w:val="99"/>
    <w:semiHidden/>
    <w:unhideWhenUsed/>
    <w:rsid w:val="00EA7E5E"/>
    <w:rPr>
      <w:color w:val="605E5C"/>
      <w:shd w:val="clear" w:color="auto" w:fill="E1DFDD"/>
    </w:rPr>
  </w:style>
  <w:style w:type="character" w:customStyle="1" w:styleId="Heading2Char">
    <w:name w:val="Heading 2 Char"/>
    <w:basedOn w:val="DefaultParagraphFont"/>
    <w:link w:val="Heading2"/>
    <w:uiPriority w:val="9"/>
    <w:rsid w:val="0057343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0530"/>
    <w:rPr>
      <w:color w:val="954F72" w:themeColor="followedHyperlink"/>
      <w:u w:val="single"/>
    </w:rPr>
  </w:style>
  <w:style w:type="paragraph" w:customStyle="1" w:styleId="Default">
    <w:name w:val="Default"/>
    <w:rsid w:val="00FD1A3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rsid w:val="00D617AB"/>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yfy4iyac8ulvoc01rkdg51awssv7ie1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ass.oxfam.org/communities/gender-justice/wiki/feminism-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58AF-89DF-4DB6-8072-7377D966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Kellaway-moore</dc:creator>
  <cp:keywords/>
  <dc:description/>
  <cp:lastModifiedBy>Nyararai Sambure</cp:lastModifiedBy>
  <cp:revision>11</cp:revision>
  <cp:lastPrinted>2020-02-27T11:50:00Z</cp:lastPrinted>
  <dcterms:created xsi:type="dcterms:W3CDTF">2021-08-24T07:19:00Z</dcterms:created>
  <dcterms:modified xsi:type="dcterms:W3CDTF">2021-09-21T15:58:00Z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