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585D513" w:rsidP="2585D513" w:rsidRDefault="2585D513" w14:paraId="149498FC" w14:textId="310FB906">
      <w:pPr>
        <w:pStyle w:val="paragraph"/>
        <w:spacing w:before="0" w:beforeAutospacing="off" w:after="0" w:afterAutospacing="off"/>
        <w:rPr>
          <w:rStyle w:val="normaltextrun"/>
          <w:rFonts w:ascii="Arial" w:hAnsi="Arial" w:cs="Arial"/>
          <w:b w:val="1"/>
          <w:bCs w:val="1"/>
          <w:color w:val="FF0000"/>
          <w:sz w:val="28"/>
          <w:szCs w:val="28"/>
          <w:u w:val="none"/>
          <w:lang w:val="en-US"/>
        </w:rPr>
      </w:pPr>
      <w:r w:rsidRPr="2585D513" w:rsidR="2585D513">
        <w:rPr>
          <w:rStyle w:val="normaltextrun"/>
          <w:rFonts w:ascii="Arial" w:hAnsi="Arial" w:cs="Arial"/>
          <w:b w:val="1"/>
          <w:bCs w:val="1"/>
          <w:color w:val="FF0000"/>
          <w:sz w:val="28"/>
          <w:szCs w:val="28"/>
          <w:u w:val="none"/>
          <w:lang w:val="en-US"/>
        </w:rPr>
        <w:t>Embargoed until 00:01 GMT on 01 May 2023</w:t>
      </w:r>
    </w:p>
    <w:p w:rsidR="2585D513" w:rsidP="2585D513" w:rsidRDefault="2585D513" w14:paraId="3F13B8A7" w14:textId="6AAA3090">
      <w:pPr>
        <w:pStyle w:val="paragraph"/>
        <w:spacing w:before="0" w:beforeAutospacing="off" w:after="0" w:afterAutospacing="off"/>
        <w:rPr>
          <w:rStyle w:val="normaltextrun"/>
          <w:rFonts w:ascii="Arial" w:hAnsi="Arial" w:cs="Arial"/>
          <w:b w:val="1"/>
          <w:bCs w:val="1"/>
          <w:sz w:val="32"/>
          <w:szCs w:val="32"/>
          <w:u w:val="single"/>
          <w:lang w:val="en-US"/>
        </w:rPr>
      </w:pPr>
    </w:p>
    <w:p w:rsidRPr="000F714C" w:rsidR="0014564B" w:rsidP="0014564B" w:rsidRDefault="0014564B" w14:paraId="1F10D44A" w14:textId="61774BCF">
      <w:pPr>
        <w:pStyle w:val="paragraph"/>
        <w:spacing w:before="0" w:beforeAutospacing="0" w:after="0" w:afterAutospacing="0"/>
        <w:textAlignment w:val="baseline"/>
        <w:rPr>
          <w:rFonts w:ascii="Arial" w:hAnsi="Arial" w:cs="Arial"/>
          <w:sz w:val="32"/>
          <w:szCs w:val="21"/>
          <w:u w:val="single"/>
        </w:rPr>
      </w:pPr>
      <w:r w:rsidRPr="000F714C">
        <w:rPr>
          <w:rStyle w:val="normaltextrun"/>
          <w:rFonts w:ascii="Arial" w:hAnsi="Arial" w:cs="Arial"/>
          <w:b/>
          <w:bCs/>
          <w:sz w:val="32"/>
          <w:szCs w:val="21"/>
          <w:u w:val="single"/>
          <w:lang w:val="en-US"/>
        </w:rPr>
        <w:t>Methodology for International Workers’ Day press release</w:t>
      </w:r>
    </w:p>
    <w:p w:rsidRPr="000F714C" w:rsidR="0014564B" w:rsidP="0014564B" w:rsidRDefault="0014564B" w14:paraId="0571F31A" w14:textId="77777777">
      <w:pPr>
        <w:pStyle w:val="paragraph"/>
        <w:spacing w:before="0" w:beforeAutospacing="0" w:after="0" w:afterAutospacing="0"/>
        <w:textAlignment w:val="baseline"/>
        <w:rPr>
          <w:rStyle w:val="normaltextrun"/>
          <w:rFonts w:ascii="Arial" w:hAnsi="Arial" w:cs="Arial"/>
          <w:b/>
          <w:bCs/>
          <w:sz w:val="21"/>
          <w:szCs w:val="21"/>
          <w:lang w:val="en-US"/>
        </w:rPr>
      </w:pPr>
    </w:p>
    <w:p w:rsidRPr="00150813" w:rsidR="0014564B" w:rsidP="0014564B" w:rsidRDefault="0014564B" w14:paraId="63ACD27A" w14:textId="0EE1B2ED">
      <w:pPr>
        <w:pStyle w:val="paragraph"/>
        <w:spacing w:before="0" w:beforeAutospacing="0" w:after="0" w:afterAutospacing="0"/>
        <w:textAlignment w:val="baseline"/>
        <w:rPr>
          <w:rStyle w:val="eop"/>
          <w:rFonts w:ascii="Arial" w:hAnsi="Arial" w:cs="Arial"/>
          <w:sz w:val="21"/>
          <w:szCs w:val="21"/>
          <w:u w:val="single"/>
        </w:rPr>
      </w:pPr>
      <w:r w:rsidRPr="00150813">
        <w:rPr>
          <w:rStyle w:val="normaltextrun"/>
          <w:rFonts w:ascii="Arial" w:hAnsi="Arial" w:cs="Arial"/>
          <w:b/>
          <w:bCs/>
          <w:sz w:val="21"/>
          <w:szCs w:val="21"/>
          <w:u w:val="single"/>
          <w:lang w:val="en-US"/>
        </w:rPr>
        <w:t>CEO pay</w:t>
      </w:r>
      <w:r w:rsidRPr="00150813">
        <w:rPr>
          <w:rStyle w:val="eop"/>
          <w:rFonts w:ascii="Arial" w:hAnsi="Arial" w:cs="Arial"/>
          <w:sz w:val="21"/>
          <w:szCs w:val="21"/>
          <w:u w:val="single"/>
        </w:rPr>
        <w:t> </w:t>
      </w:r>
    </w:p>
    <w:p w:rsidRPr="000F714C" w:rsidR="0014564B" w:rsidP="0014564B" w:rsidRDefault="0014564B" w14:paraId="1082195C" w14:textId="77777777">
      <w:pPr>
        <w:pStyle w:val="paragraph"/>
        <w:spacing w:before="0" w:beforeAutospacing="0" w:after="0" w:afterAutospacing="0"/>
        <w:textAlignment w:val="baseline"/>
        <w:rPr>
          <w:rFonts w:ascii="Arial" w:hAnsi="Arial" w:cs="Arial"/>
          <w:sz w:val="21"/>
          <w:szCs w:val="21"/>
        </w:rPr>
      </w:pPr>
    </w:p>
    <w:p w:rsidRPr="000F714C" w:rsidR="0014564B" w:rsidP="000F714C" w:rsidRDefault="0014564B" w14:paraId="781389FA" w14:textId="43C27651">
      <w:pPr>
        <w:pStyle w:val="paragraph"/>
        <w:spacing w:before="0" w:beforeAutospacing="0" w:after="0" w:afterAutospacing="0"/>
        <w:jc w:val="both"/>
        <w:textAlignment w:val="baseline"/>
        <w:rPr>
          <w:rStyle w:val="eop"/>
          <w:rFonts w:ascii="Arial" w:hAnsi="Arial" w:cs="Arial"/>
          <w:sz w:val="21"/>
          <w:szCs w:val="21"/>
        </w:rPr>
      </w:pPr>
      <w:r w:rsidRPr="000F714C">
        <w:rPr>
          <w:rStyle w:val="normaltextrun"/>
          <w:rFonts w:ascii="Arial" w:hAnsi="Arial" w:cs="Arial"/>
          <w:b/>
          <w:bCs/>
          <w:sz w:val="21"/>
          <w:szCs w:val="21"/>
          <w:lang w:val="en-US"/>
        </w:rPr>
        <w:t>US and UK:</w:t>
      </w:r>
      <w:r w:rsidRPr="000F714C">
        <w:rPr>
          <w:rStyle w:val="normaltextrun"/>
          <w:rFonts w:ascii="Arial" w:hAnsi="Arial" w:cs="Arial"/>
          <w:sz w:val="21"/>
          <w:szCs w:val="21"/>
          <w:lang w:val="en-US"/>
        </w:rPr>
        <w:t xml:space="preserve"> Total compensation and year on year changes of the 100 highest paid CEOs working for companies that had posted their annual financial filings for 2022 (when the data was </w:t>
      </w:r>
      <w:r w:rsidRPr="000F714C" w:rsidR="000F714C">
        <w:rPr>
          <w:rStyle w:val="spellingerror"/>
          <w:rFonts w:ascii="Arial" w:hAnsi="Arial" w:cs="Arial"/>
          <w:sz w:val="21"/>
          <w:szCs w:val="21"/>
          <w:lang w:val="en-US"/>
        </w:rPr>
        <w:t>analyzed</w:t>
      </w:r>
      <w:r w:rsidRPr="000F714C">
        <w:rPr>
          <w:rStyle w:val="normaltextrun"/>
          <w:rFonts w:ascii="Arial" w:hAnsi="Arial" w:cs="Arial"/>
          <w:sz w:val="21"/>
          <w:szCs w:val="21"/>
          <w:lang w:val="en-US"/>
        </w:rPr>
        <w:t xml:space="preserve"> on 10</w:t>
      </w:r>
      <w:r w:rsidRPr="000F714C">
        <w:rPr>
          <w:rStyle w:val="normaltextrun"/>
          <w:rFonts w:ascii="Arial" w:hAnsi="Arial" w:cs="Arial"/>
          <w:sz w:val="21"/>
          <w:szCs w:val="21"/>
          <w:vertAlign w:val="superscript"/>
          <w:lang w:val="en-US"/>
        </w:rPr>
        <w:t>th</w:t>
      </w:r>
      <w:r w:rsidRPr="000F714C">
        <w:rPr>
          <w:rStyle w:val="normaltextrun"/>
          <w:rFonts w:ascii="Arial" w:hAnsi="Arial" w:cs="Arial"/>
          <w:sz w:val="21"/>
          <w:szCs w:val="21"/>
          <w:lang w:val="en-US"/>
        </w:rPr>
        <w:t xml:space="preserve"> April 2023) was identified from the Bloomberg CEO pay site</w:t>
      </w:r>
      <w:r w:rsidRPr="000F714C">
        <w:rPr>
          <w:rStyle w:val="Refdenotaalfinal"/>
          <w:rFonts w:ascii="Arial" w:hAnsi="Arial" w:cs="Arial"/>
          <w:sz w:val="21"/>
          <w:szCs w:val="21"/>
          <w:lang w:val="en-US"/>
        </w:rPr>
        <w:endnoteReference w:id="1"/>
      </w:r>
      <w:r w:rsidRPr="000F714C">
        <w:rPr>
          <w:rStyle w:val="normaltextrun"/>
          <w:rFonts w:ascii="Arial" w:hAnsi="Arial" w:cs="Arial"/>
          <w:sz w:val="21"/>
          <w:szCs w:val="21"/>
          <w:lang w:val="en-US"/>
        </w:rPr>
        <w:t xml:space="preserve"> for CEOs of US companies and the High Pay Centre’s UK Pay Database</w:t>
      </w:r>
      <w:r w:rsidRPr="000F714C">
        <w:rPr>
          <w:rStyle w:val="Refdenotaalfinal"/>
          <w:rFonts w:ascii="Arial" w:hAnsi="Arial" w:cs="Arial"/>
          <w:sz w:val="21"/>
          <w:szCs w:val="21"/>
          <w:lang w:val="en-US"/>
        </w:rPr>
        <w:endnoteReference w:id="2"/>
      </w:r>
      <w:r w:rsidRPr="000F714C">
        <w:rPr>
          <w:rStyle w:val="normaltextrun"/>
          <w:rFonts w:ascii="Arial" w:hAnsi="Arial" w:cs="Arial"/>
          <w:sz w:val="21"/>
          <w:szCs w:val="21"/>
          <w:lang w:val="en-US"/>
        </w:rPr>
        <w:t xml:space="preserve"> for UK companies. These figures are likely to change into 2023 as more companies release their annual reports for 2022. The compensation includes bonuses and incentive plans. The compensation was adjusted for inflation using the 2022 Household Consumer Price Index (HCPI) from the World Bank</w:t>
      </w:r>
      <w:r w:rsidRPr="000F714C">
        <w:rPr>
          <w:rStyle w:val="Refdenotaalfinal"/>
          <w:rFonts w:ascii="Arial" w:hAnsi="Arial" w:cs="Arial"/>
          <w:sz w:val="21"/>
          <w:szCs w:val="21"/>
          <w:lang w:val="en-US"/>
        </w:rPr>
        <w:endnoteReference w:id="3"/>
      </w:r>
      <w:r w:rsidRPr="000F714C">
        <w:rPr>
          <w:rFonts w:ascii="Arial" w:hAnsi="Arial" w:cs="Arial"/>
          <w:sz w:val="21"/>
          <w:szCs w:val="21"/>
        </w:rPr>
        <w:t xml:space="preserve"> </w:t>
      </w:r>
      <w:r w:rsidRPr="000F714C">
        <w:rPr>
          <w:rStyle w:val="normaltextrun"/>
          <w:rFonts w:ascii="Arial" w:hAnsi="Arial" w:cs="Arial"/>
          <w:sz w:val="21"/>
          <w:szCs w:val="21"/>
          <w:lang w:val="en-US"/>
        </w:rPr>
        <w:t>which for the US was 8% for 2022 and the UK 7.9%. The average HCPI was subtracted from the year-on-year change of compensation to get a real</w:t>
      </w:r>
      <w:r w:rsidR="000F714C">
        <w:rPr>
          <w:rStyle w:val="normaltextrun"/>
          <w:rFonts w:ascii="Arial" w:hAnsi="Arial" w:cs="Arial"/>
          <w:sz w:val="21"/>
          <w:szCs w:val="21"/>
          <w:lang w:val="en-US"/>
        </w:rPr>
        <w:t>-</w:t>
      </w:r>
      <w:r w:rsidRPr="000F714C">
        <w:rPr>
          <w:rStyle w:val="normaltextrun"/>
          <w:rFonts w:ascii="Arial" w:hAnsi="Arial" w:cs="Arial"/>
          <w:sz w:val="21"/>
          <w:szCs w:val="21"/>
          <w:lang w:val="en-US"/>
        </w:rPr>
        <w:t>term gain which was 15% for the US and 4.4% in the UK.</w:t>
      </w:r>
    </w:p>
    <w:p w:rsidRPr="000F714C" w:rsidR="0014564B" w:rsidP="0014564B" w:rsidRDefault="0014564B" w14:paraId="23F02715" w14:textId="77777777">
      <w:pPr>
        <w:pStyle w:val="paragraph"/>
        <w:spacing w:before="0" w:beforeAutospacing="0" w:after="0" w:afterAutospacing="0"/>
        <w:textAlignment w:val="baseline"/>
        <w:rPr>
          <w:rStyle w:val="eop"/>
          <w:rFonts w:ascii="Arial" w:hAnsi="Arial" w:cs="Arial"/>
          <w:sz w:val="21"/>
          <w:szCs w:val="21"/>
        </w:rPr>
      </w:pPr>
    </w:p>
    <w:p w:rsidRPr="000F714C" w:rsidR="0014564B" w:rsidP="00150813" w:rsidRDefault="0014564B" w14:paraId="64FE5E8C" w14:textId="498D2833">
      <w:pPr>
        <w:pStyle w:val="paragraph"/>
        <w:spacing w:before="0" w:beforeAutospacing="0" w:after="0" w:afterAutospacing="0"/>
        <w:jc w:val="both"/>
        <w:textAlignment w:val="baseline"/>
        <w:rPr>
          <w:rFonts w:ascii="Arial" w:hAnsi="Arial" w:cs="Arial"/>
          <w:sz w:val="21"/>
          <w:szCs w:val="21"/>
          <w:lang w:val="en-US"/>
        </w:rPr>
      </w:pPr>
      <w:r w:rsidRPr="00150813">
        <w:rPr>
          <w:rStyle w:val="normaltextrun"/>
          <w:rFonts w:ascii="Arial" w:hAnsi="Arial" w:cs="Arial"/>
          <w:b/>
          <w:sz w:val="21"/>
          <w:szCs w:val="21"/>
          <w:lang w:val="en-US"/>
        </w:rPr>
        <w:t>India and South Africa</w:t>
      </w:r>
      <w:r w:rsidRPr="000F714C">
        <w:rPr>
          <w:rStyle w:val="normaltextrun"/>
          <w:rFonts w:ascii="Arial" w:hAnsi="Arial" w:cs="Arial"/>
          <w:sz w:val="21"/>
          <w:szCs w:val="21"/>
          <w:lang w:val="en-US"/>
        </w:rPr>
        <w:t>: As there was no publicly available database of CEO salaries in these countries</w:t>
      </w:r>
      <w:r w:rsidR="00150813">
        <w:rPr>
          <w:rStyle w:val="normaltextrun"/>
          <w:rFonts w:ascii="Arial" w:hAnsi="Arial" w:cs="Arial"/>
          <w:sz w:val="21"/>
          <w:szCs w:val="21"/>
          <w:lang w:val="en-US"/>
        </w:rPr>
        <w:t xml:space="preserve">, </w:t>
      </w:r>
      <w:r w:rsidRPr="000F714C">
        <w:rPr>
          <w:rStyle w:val="normaltextrun"/>
          <w:rFonts w:ascii="Arial" w:hAnsi="Arial" w:cs="Arial"/>
          <w:sz w:val="21"/>
          <w:szCs w:val="21"/>
          <w:lang w:val="en-US"/>
        </w:rPr>
        <w:t>survey data was used. India’s 12</w:t>
      </w:r>
      <w:r w:rsidRPr="000F714C">
        <w:rPr>
          <w:rStyle w:val="normaltextrun"/>
          <w:rFonts w:ascii="Arial" w:hAnsi="Arial" w:cs="Arial"/>
          <w:sz w:val="21"/>
          <w:szCs w:val="21"/>
          <w:vertAlign w:val="superscript"/>
          <w:lang w:val="en-US"/>
        </w:rPr>
        <w:t>th</w:t>
      </w:r>
      <w:r w:rsidRPr="000F714C">
        <w:rPr>
          <w:rStyle w:val="normaltextrun"/>
          <w:rFonts w:ascii="Arial" w:hAnsi="Arial" w:cs="Arial"/>
          <w:sz w:val="21"/>
          <w:szCs w:val="21"/>
          <w:lang w:val="en-US"/>
        </w:rPr>
        <w:t xml:space="preserve"> Annual Executive Rewards Survey 2022-23 which takes data from across 519 companies</w:t>
      </w:r>
      <w:r w:rsidR="00150813">
        <w:rPr>
          <w:rStyle w:val="normaltextrun"/>
          <w:rFonts w:ascii="Arial" w:hAnsi="Arial" w:cs="Arial"/>
          <w:sz w:val="21"/>
          <w:szCs w:val="21"/>
          <w:lang w:val="en-US"/>
        </w:rPr>
        <w:t xml:space="preserve">, </w:t>
      </w:r>
      <w:r w:rsidRPr="000F714C">
        <w:rPr>
          <w:rStyle w:val="normaltextrun"/>
          <w:rFonts w:ascii="Arial" w:hAnsi="Arial" w:cs="Arial"/>
          <w:sz w:val="21"/>
          <w:szCs w:val="21"/>
          <w:lang w:val="en-US"/>
        </w:rPr>
        <w:t>found the average salary of senior executives and CEOs in India increased by 9.1% in 2023</w:t>
      </w:r>
      <w:r w:rsidRPr="000F714C" w:rsidR="00FA40D9">
        <w:rPr>
          <w:rStyle w:val="Refdenotaalfinal"/>
          <w:rFonts w:ascii="Arial" w:hAnsi="Arial" w:cs="Arial"/>
          <w:sz w:val="21"/>
          <w:szCs w:val="21"/>
          <w:lang w:val="en-US"/>
        </w:rPr>
        <w:endnoteReference w:id="4"/>
      </w:r>
      <w:r w:rsidRPr="000F714C">
        <w:rPr>
          <w:rStyle w:val="normaltextrun"/>
          <w:rFonts w:ascii="Arial" w:hAnsi="Arial" w:cs="Arial"/>
          <w:sz w:val="21"/>
          <w:szCs w:val="21"/>
          <w:lang w:val="en-US"/>
        </w:rPr>
        <w:t>. HCPI in India was 6.7% in 2022 so CEOs got a 2.4% rise.</w:t>
      </w:r>
      <w:r w:rsidRPr="000F714C" w:rsidR="00FA40D9">
        <w:rPr>
          <w:rStyle w:val="normaltextrun"/>
          <w:rFonts w:ascii="Arial" w:hAnsi="Arial" w:cs="Arial"/>
          <w:sz w:val="21"/>
          <w:szCs w:val="21"/>
          <w:lang w:val="en-US"/>
        </w:rPr>
        <w:t xml:space="preserve"> There was not all worker averages available for 2022 so to compare Indian CEO and worker salaries we used the average of agricultural and non-agricultural workers as per the Reserve Bank of India Handbook of Statistics on Indian States</w:t>
      </w:r>
      <w:r w:rsidRPr="000F714C" w:rsidR="00FA40D9">
        <w:rPr>
          <w:rStyle w:val="Refdenotaalfinal"/>
          <w:rFonts w:ascii="Arial" w:hAnsi="Arial" w:cs="Arial"/>
          <w:sz w:val="21"/>
          <w:szCs w:val="21"/>
          <w:lang w:val="en-US"/>
        </w:rPr>
        <w:endnoteReference w:id="5"/>
      </w:r>
      <w:r w:rsidRPr="000F714C" w:rsidR="00FA40D9">
        <w:rPr>
          <w:rStyle w:val="normaltextrun"/>
          <w:rFonts w:ascii="Arial" w:hAnsi="Arial" w:cs="Arial"/>
          <w:sz w:val="21"/>
          <w:szCs w:val="21"/>
          <w:lang w:val="en-US"/>
        </w:rPr>
        <w:t xml:space="preserve">. </w:t>
      </w:r>
      <w:r w:rsidRPr="000F714C">
        <w:rPr>
          <w:rStyle w:val="normaltextrun"/>
          <w:rFonts w:ascii="Arial" w:hAnsi="Arial" w:cs="Arial"/>
          <w:sz w:val="21"/>
          <w:szCs w:val="21"/>
          <w:lang w:val="en-US"/>
        </w:rPr>
        <w:t>In South Africa</w:t>
      </w:r>
      <w:r w:rsidR="00150813">
        <w:rPr>
          <w:rStyle w:val="normaltextrun"/>
          <w:rFonts w:ascii="Arial" w:hAnsi="Arial" w:cs="Arial"/>
          <w:sz w:val="21"/>
          <w:szCs w:val="21"/>
          <w:lang w:val="en-US"/>
        </w:rPr>
        <w:t>,</w:t>
      </w:r>
      <w:r w:rsidRPr="000F714C">
        <w:rPr>
          <w:rStyle w:val="normaltextrun"/>
          <w:rFonts w:ascii="Arial" w:hAnsi="Arial" w:cs="Arial"/>
          <w:sz w:val="21"/>
          <w:szCs w:val="21"/>
          <w:lang w:val="en-US"/>
        </w:rPr>
        <w:t xml:space="preserve"> PwC conduct an annual survey of executive directors</w:t>
      </w:r>
      <w:r w:rsidR="00150813">
        <w:rPr>
          <w:rStyle w:val="normaltextrun"/>
          <w:rFonts w:ascii="Arial" w:hAnsi="Arial" w:cs="Arial"/>
          <w:sz w:val="21"/>
          <w:szCs w:val="21"/>
          <w:lang w:val="en-US"/>
        </w:rPr>
        <w:t>. I</w:t>
      </w:r>
      <w:r w:rsidRPr="000F714C">
        <w:rPr>
          <w:rStyle w:val="normaltextrun"/>
          <w:rFonts w:ascii="Arial" w:hAnsi="Arial" w:cs="Arial"/>
          <w:sz w:val="21"/>
          <w:szCs w:val="21"/>
          <w:lang w:val="en-US"/>
        </w:rPr>
        <w:t xml:space="preserve">n </w:t>
      </w:r>
      <w:proofErr w:type="gramStart"/>
      <w:r w:rsidRPr="000F714C">
        <w:rPr>
          <w:rStyle w:val="normaltextrun"/>
          <w:rFonts w:ascii="Arial" w:hAnsi="Arial" w:cs="Arial"/>
          <w:sz w:val="21"/>
          <w:szCs w:val="21"/>
          <w:lang w:val="en-US"/>
        </w:rPr>
        <w:t>2022</w:t>
      </w:r>
      <w:proofErr w:type="gramEnd"/>
      <w:r w:rsidRPr="000F714C" w:rsidR="00FA40D9">
        <w:rPr>
          <w:rStyle w:val="Refdenotaalfinal"/>
          <w:rFonts w:ascii="Arial" w:hAnsi="Arial" w:cs="Arial"/>
          <w:sz w:val="21"/>
          <w:szCs w:val="21"/>
          <w:lang w:val="en-US"/>
        </w:rPr>
        <w:endnoteReference w:id="6"/>
      </w:r>
      <w:r w:rsidRPr="000F714C" w:rsidR="00FA40D9">
        <w:rPr>
          <w:rFonts w:ascii="Arial" w:hAnsi="Arial" w:cs="Arial"/>
          <w:sz w:val="21"/>
          <w:szCs w:val="21"/>
        </w:rPr>
        <w:t xml:space="preserve"> </w:t>
      </w:r>
      <w:r w:rsidRPr="000F714C">
        <w:rPr>
          <w:rStyle w:val="normaltextrun"/>
          <w:rFonts w:ascii="Arial" w:hAnsi="Arial" w:cs="Arial"/>
          <w:sz w:val="21"/>
          <w:szCs w:val="21"/>
          <w:lang w:val="en-US"/>
        </w:rPr>
        <w:t>the median salary of CEOs in large cap companies was 13.09 million rand – the report from 2021 found salaries at 10.87 million rand</w:t>
      </w:r>
      <w:r w:rsidR="00150813">
        <w:rPr>
          <w:rStyle w:val="normaltextrun"/>
          <w:rFonts w:ascii="Arial" w:hAnsi="Arial" w:cs="Arial"/>
          <w:sz w:val="21"/>
          <w:szCs w:val="21"/>
          <w:lang w:val="en-US"/>
        </w:rPr>
        <w:t>,</w:t>
      </w:r>
      <w:r w:rsidRPr="000F714C">
        <w:rPr>
          <w:rStyle w:val="normaltextrun"/>
          <w:rFonts w:ascii="Arial" w:hAnsi="Arial" w:cs="Arial"/>
          <w:sz w:val="21"/>
          <w:szCs w:val="21"/>
          <w:lang w:val="en-US"/>
        </w:rPr>
        <w:t xml:space="preserve"> a 20.4% year on year increase. HCPI in South Africa was 7% and so top CEOs got a 13.4% pay rise.</w:t>
      </w:r>
      <w:r w:rsidRPr="000F714C">
        <w:rPr>
          <w:rStyle w:val="eop"/>
          <w:rFonts w:ascii="Arial" w:hAnsi="Arial" w:cs="Arial"/>
          <w:sz w:val="21"/>
          <w:szCs w:val="21"/>
        </w:rPr>
        <w:t> </w:t>
      </w:r>
    </w:p>
    <w:p w:rsidRPr="000F714C" w:rsidR="0014564B" w:rsidP="0014564B" w:rsidRDefault="0014564B" w14:paraId="0D7E111B" w14:textId="77777777">
      <w:pPr>
        <w:pStyle w:val="paragraph"/>
        <w:spacing w:before="0" w:beforeAutospacing="0" w:after="0" w:afterAutospacing="0"/>
        <w:textAlignment w:val="baseline"/>
        <w:rPr>
          <w:rStyle w:val="eop"/>
          <w:rFonts w:ascii="Arial" w:hAnsi="Arial" w:cs="Arial"/>
          <w:sz w:val="21"/>
          <w:szCs w:val="21"/>
        </w:rPr>
      </w:pPr>
      <w:r w:rsidRPr="000F714C">
        <w:rPr>
          <w:rStyle w:val="eop"/>
          <w:rFonts w:ascii="Arial" w:hAnsi="Arial" w:cs="Arial"/>
          <w:sz w:val="21"/>
          <w:szCs w:val="21"/>
        </w:rPr>
        <w:t> </w:t>
      </w:r>
    </w:p>
    <w:tbl>
      <w:tblPr>
        <w:tblW w:w="11432" w:type="dxa"/>
        <w:tblInd w:w="-1040" w:type="dxa"/>
        <w:tblLook w:val="04A0" w:firstRow="1" w:lastRow="0" w:firstColumn="1" w:lastColumn="0" w:noHBand="0" w:noVBand="1"/>
      </w:tblPr>
      <w:tblGrid>
        <w:gridCol w:w="1043"/>
        <w:gridCol w:w="1495"/>
        <w:gridCol w:w="1711"/>
        <w:gridCol w:w="1495"/>
        <w:gridCol w:w="694"/>
        <w:gridCol w:w="1006"/>
        <w:gridCol w:w="917"/>
        <w:gridCol w:w="1495"/>
        <w:gridCol w:w="1018"/>
        <w:gridCol w:w="718"/>
      </w:tblGrid>
      <w:tr w:rsidRPr="00150813" w:rsidR="006561C5" w:rsidTr="00150813" w14:paraId="1D442F8D" w14:textId="77777777">
        <w:trPr>
          <w:trHeight w:val="889"/>
        </w:trPr>
        <w:tc>
          <w:tcPr>
            <w:tcW w:w="1043"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center"/>
            <w:hideMark/>
          </w:tcPr>
          <w:p w:rsidRPr="00150813" w:rsidR="0014564B" w:rsidP="00150813" w:rsidRDefault="0014564B" w14:paraId="7776FA64" w14:textId="31DFA289">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Country</w:t>
            </w:r>
          </w:p>
        </w:tc>
        <w:tc>
          <w:tcPr>
            <w:tcW w:w="1485"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6561C5" w:rsidP="00150813" w:rsidRDefault="0014564B" w14:paraId="22FC7037" w14:textId="77777777">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 xml:space="preserve">2021 </w:t>
            </w:r>
            <w:r w:rsidRPr="00150813" w:rsidR="006561C5">
              <w:rPr>
                <w:rFonts w:ascii="Arial" w:hAnsi="Arial" w:eastAsia="Times New Roman" w:cs="Arial"/>
                <w:b/>
                <w:bCs/>
                <w:color w:val="000000"/>
                <w:sz w:val="20"/>
                <w:szCs w:val="20"/>
                <w:lang w:val="en-GB" w:eastAsia="en-GB"/>
              </w:rPr>
              <w:t>remuneration</w:t>
            </w:r>
          </w:p>
          <w:p w:rsidRPr="00150813" w:rsidR="0014564B" w:rsidP="00150813" w:rsidRDefault="0014564B" w14:paraId="2A70D68D" w14:textId="0C2FDB4A">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nominal annual local</w:t>
            </w:r>
          </w:p>
        </w:tc>
        <w:tc>
          <w:tcPr>
            <w:tcW w:w="1711"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14564B" w14:paraId="45E39B64" w14:textId="0FAA683E">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2022</w:t>
            </w:r>
            <w:r w:rsidRPr="00150813" w:rsidR="006561C5">
              <w:rPr>
                <w:rFonts w:ascii="Arial" w:hAnsi="Arial" w:eastAsia="Times New Roman" w:cs="Arial"/>
                <w:b/>
                <w:bCs/>
                <w:color w:val="000000"/>
                <w:sz w:val="20"/>
                <w:szCs w:val="20"/>
                <w:lang w:val="en-GB" w:eastAsia="en-GB"/>
              </w:rPr>
              <w:t xml:space="preserve"> remuneration</w:t>
            </w:r>
            <w:r w:rsidRPr="00150813">
              <w:rPr>
                <w:rFonts w:ascii="Arial" w:hAnsi="Arial" w:eastAsia="Times New Roman" w:cs="Arial"/>
                <w:b/>
                <w:bCs/>
                <w:color w:val="000000"/>
                <w:sz w:val="20"/>
                <w:szCs w:val="20"/>
                <w:lang w:val="en-GB" w:eastAsia="en-GB"/>
              </w:rPr>
              <w:t xml:space="preserve"> annual local</w:t>
            </w:r>
          </w:p>
        </w:tc>
        <w:tc>
          <w:tcPr>
            <w:tcW w:w="1485"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6561C5" w14:paraId="47CD1FB2" w14:textId="6CFAD582">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2022 remuneration p</w:t>
            </w:r>
            <w:r w:rsidRPr="00150813" w:rsidR="0014564B">
              <w:rPr>
                <w:rFonts w:ascii="Arial" w:hAnsi="Arial" w:eastAsia="Times New Roman" w:cs="Arial"/>
                <w:b/>
                <w:bCs/>
                <w:color w:val="000000"/>
                <w:sz w:val="20"/>
                <w:szCs w:val="20"/>
                <w:lang w:val="en-GB" w:eastAsia="en-GB"/>
              </w:rPr>
              <w:t>er hour</w:t>
            </w:r>
          </w:p>
        </w:tc>
        <w:tc>
          <w:tcPr>
            <w:tcW w:w="652"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6561C5" w14:paraId="2345DDBC" w14:textId="2EC5D06F">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H</w:t>
            </w:r>
            <w:r w:rsidRPr="00150813" w:rsidR="0014564B">
              <w:rPr>
                <w:rFonts w:ascii="Arial" w:hAnsi="Arial" w:eastAsia="Times New Roman" w:cs="Arial"/>
                <w:b/>
                <w:bCs/>
                <w:color w:val="000000"/>
                <w:sz w:val="20"/>
                <w:szCs w:val="20"/>
                <w:lang w:val="en-GB" w:eastAsia="en-GB"/>
              </w:rPr>
              <w:t>CPI</w:t>
            </w:r>
          </w:p>
        </w:tc>
        <w:tc>
          <w:tcPr>
            <w:tcW w:w="967"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14564B" w14:paraId="4A58489E" w14:textId="6B6B3A42">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Average 202</w:t>
            </w:r>
            <w:r w:rsidRPr="00150813" w:rsidR="006561C5">
              <w:rPr>
                <w:rFonts w:ascii="Arial" w:hAnsi="Arial" w:eastAsia="Times New Roman" w:cs="Arial"/>
                <w:b/>
                <w:bCs/>
                <w:color w:val="000000"/>
                <w:sz w:val="20"/>
                <w:szCs w:val="20"/>
                <w:lang w:val="en-GB" w:eastAsia="en-GB"/>
              </w:rPr>
              <w:t>1-2022 nominal change</w:t>
            </w:r>
            <w:r w:rsidRPr="00150813">
              <w:rPr>
                <w:rFonts w:ascii="Arial" w:hAnsi="Arial" w:eastAsia="Times New Roman" w:cs="Arial"/>
                <w:b/>
                <w:bCs/>
                <w:color w:val="000000"/>
                <w:sz w:val="20"/>
                <w:szCs w:val="20"/>
                <w:lang w:val="en-GB" w:eastAsia="en-GB"/>
              </w:rPr>
              <w:t xml:space="preserve"> %</w:t>
            </w:r>
          </w:p>
        </w:tc>
        <w:tc>
          <w:tcPr>
            <w:tcW w:w="868"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14564B" w14:paraId="37E6AEA4" w14:textId="6456BAF3">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 xml:space="preserve">Real term </w:t>
            </w:r>
            <w:r w:rsidRPr="00150813" w:rsidR="006561C5">
              <w:rPr>
                <w:rFonts w:ascii="Arial" w:hAnsi="Arial" w:eastAsia="Times New Roman" w:cs="Arial"/>
                <w:b/>
                <w:bCs/>
                <w:color w:val="000000"/>
                <w:sz w:val="20"/>
                <w:szCs w:val="20"/>
                <w:lang w:val="en-GB" w:eastAsia="en-GB"/>
              </w:rPr>
              <w:t xml:space="preserve">2021-2022 change </w:t>
            </w:r>
            <w:r w:rsidRPr="00150813">
              <w:rPr>
                <w:rFonts w:ascii="Arial" w:hAnsi="Arial" w:eastAsia="Times New Roman" w:cs="Arial"/>
                <w:b/>
                <w:bCs/>
                <w:color w:val="000000"/>
                <w:sz w:val="20"/>
                <w:szCs w:val="20"/>
                <w:lang w:val="en-GB" w:eastAsia="en-GB"/>
              </w:rPr>
              <w:t>%</w:t>
            </w:r>
          </w:p>
        </w:tc>
        <w:tc>
          <w:tcPr>
            <w:tcW w:w="1485"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6561C5" w14:paraId="27C689DE" w14:textId="5FE6C057">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2022 remuneration i</w:t>
            </w:r>
            <w:r w:rsidRPr="00150813" w:rsidR="0014564B">
              <w:rPr>
                <w:rFonts w:ascii="Arial" w:hAnsi="Arial" w:eastAsia="Times New Roman" w:cs="Arial"/>
                <w:b/>
                <w:bCs/>
                <w:color w:val="000000"/>
                <w:sz w:val="20"/>
                <w:szCs w:val="20"/>
                <w:lang w:val="en-GB" w:eastAsia="en-GB"/>
              </w:rPr>
              <w:t>n USD</w:t>
            </w:r>
          </w:p>
        </w:tc>
        <w:tc>
          <w:tcPr>
            <w:tcW w:w="1018"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6561C5" w14:paraId="06A3DDA6" w14:textId="2B7C3FBB">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Average</w:t>
            </w:r>
            <w:r w:rsidRPr="00150813" w:rsidR="0014564B">
              <w:rPr>
                <w:rFonts w:ascii="Arial" w:hAnsi="Arial" w:eastAsia="Times New Roman" w:cs="Arial"/>
                <w:b/>
                <w:bCs/>
                <w:color w:val="000000"/>
                <w:sz w:val="20"/>
                <w:szCs w:val="20"/>
                <w:lang w:val="en-GB" w:eastAsia="en-GB"/>
              </w:rPr>
              <w:t xml:space="preserve"> workers annual local</w:t>
            </w:r>
          </w:p>
        </w:tc>
        <w:tc>
          <w:tcPr>
            <w:tcW w:w="718" w:type="dxa"/>
            <w:tcBorders>
              <w:top w:val="single" w:color="auto" w:sz="4" w:space="0"/>
              <w:left w:val="nil"/>
              <w:bottom w:val="single" w:color="auto" w:sz="4" w:space="0"/>
              <w:right w:val="single" w:color="auto" w:sz="4" w:space="0"/>
            </w:tcBorders>
            <w:shd w:val="clear" w:color="auto" w:fill="DEEAF6" w:themeFill="accent1" w:themeFillTint="33"/>
            <w:noWrap/>
            <w:vAlign w:val="center"/>
            <w:hideMark/>
          </w:tcPr>
          <w:p w:rsidRPr="00150813" w:rsidR="0014564B" w:rsidP="00150813" w:rsidRDefault="0014564B" w14:paraId="577ACE2B" w14:textId="77777777">
            <w:pPr>
              <w:jc w:val="center"/>
              <w:rPr>
                <w:rFonts w:ascii="Arial" w:hAnsi="Arial" w:eastAsia="Times New Roman" w:cs="Arial"/>
                <w:b/>
                <w:bCs/>
                <w:color w:val="000000"/>
                <w:sz w:val="20"/>
                <w:szCs w:val="20"/>
                <w:lang w:val="en-GB" w:eastAsia="en-GB"/>
              </w:rPr>
            </w:pPr>
            <w:r w:rsidRPr="00150813">
              <w:rPr>
                <w:rFonts w:ascii="Arial" w:hAnsi="Arial" w:eastAsia="Times New Roman" w:cs="Arial"/>
                <w:b/>
                <w:bCs/>
                <w:color w:val="000000"/>
                <w:sz w:val="20"/>
                <w:szCs w:val="20"/>
                <w:lang w:val="en-GB" w:eastAsia="en-GB"/>
              </w:rPr>
              <w:t>Ratio</w:t>
            </w:r>
          </w:p>
        </w:tc>
      </w:tr>
      <w:tr w:rsidRPr="00150813" w:rsidR="006561C5" w:rsidTr="009B207B" w14:paraId="017AC30E" w14:textId="77777777">
        <w:trPr>
          <w:trHeight w:val="889"/>
        </w:trPr>
        <w:tc>
          <w:tcPr>
            <w:tcW w:w="1043" w:type="dxa"/>
            <w:tcBorders>
              <w:top w:val="nil"/>
              <w:left w:val="single" w:color="auto" w:sz="4" w:space="0"/>
              <w:bottom w:val="single" w:color="auto" w:sz="4" w:space="0"/>
              <w:right w:val="single" w:color="auto" w:sz="4" w:space="0"/>
            </w:tcBorders>
            <w:shd w:val="clear" w:color="auto" w:fill="auto"/>
            <w:noWrap/>
            <w:vAlign w:val="bottom"/>
            <w:hideMark/>
          </w:tcPr>
          <w:p w:rsidRPr="00150813" w:rsidR="0014564B" w:rsidP="006561C5" w:rsidRDefault="0014564B" w14:paraId="5BE0E539" w14:textId="4DC7B15A">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U</w:t>
            </w:r>
            <w:r w:rsidR="00150813">
              <w:rPr>
                <w:rFonts w:ascii="Arial" w:hAnsi="Arial" w:eastAsia="Times New Roman" w:cs="Arial"/>
                <w:color w:val="000000"/>
                <w:sz w:val="20"/>
                <w:szCs w:val="20"/>
                <w:lang w:val="en-GB" w:eastAsia="en-GB"/>
              </w:rPr>
              <w:t>S</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5DC6B3F7" w14:textId="1C791454">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22,658,457</w:t>
            </w:r>
          </w:p>
        </w:tc>
        <w:tc>
          <w:tcPr>
            <w:tcW w:w="1711"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2AF2F907" w14:textId="620C986A">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23,951,846</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46484368" w14:textId="6A53F791">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4,536.33</w:t>
            </w:r>
          </w:p>
        </w:tc>
        <w:tc>
          <w:tcPr>
            <w:tcW w:w="652"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5D4EB9A8"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8%</w:t>
            </w:r>
          </w:p>
        </w:tc>
        <w:tc>
          <w:tcPr>
            <w:tcW w:w="967"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303549CF"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23%</w:t>
            </w:r>
          </w:p>
        </w:tc>
        <w:tc>
          <w:tcPr>
            <w:tcW w:w="86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075D53A2"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15%</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225E21A1" w14:textId="60C70960">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23,951,846</w:t>
            </w:r>
          </w:p>
        </w:tc>
        <w:tc>
          <w:tcPr>
            <w:tcW w:w="101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103CE4AC" w14:textId="249DD29E">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57,897</w:t>
            </w:r>
          </w:p>
        </w:tc>
        <w:tc>
          <w:tcPr>
            <w:tcW w:w="71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0B1D6365"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413.7</w:t>
            </w:r>
          </w:p>
        </w:tc>
      </w:tr>
      <w:tr w:rsidRPr="00150813" w:rsidR="006561C5" w:rsidTr="009B207B" w14:paraId="11DC18C5" w14:textId="77777777">
        <w:trPr>
          <w:trHeight w:val="889"/>
        </w:trPr>
        <w:tc>
          <w:tcPr>
            <w:tcW w:w="1043" w:type="dxa"/>
            <w:tcBorders>
              <w:top w:val="nil"/>
              <w:left w:val="single" w:color="auto" w:sz="4" w:space="0"/>
              <w:bottom w:val="single" w:color="auto" w:sz="4" w:space="0"/>
              <w:right w:val="single" w:color="auto" w:sz="4" w:space="0"/>
            </w:tcBorders>
            <w:shd w:val="clear" w:color="auto" w:fill="auto"/>
            <w:noWrap/>
            <w:vAlign w:val="bottom"/>
            <w:hideMark/>
          </w:tcPr>
          <w:p w:rsidRPr="00150813" w:rsidR="0014564B" w:rsidP="006561C5" w:rsidRDefault="006561C5" w14:paraId="5D99ADC0" w14:textId="6956614C">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U</w:t>
            </w:r>
            <w:r w:rsidRPr="00150813" w:rsidR="0014564B">
              <w:rPr>
                <w:rFonts w:ascii="Arial" w:hAnsi="Arial" w:eastAsia="Times New Roman" w:cs="Arial"/>
                <w:color w:val="000000"/>
                <w:sz w:val="20"/>
                <w:szCs w:val="20"/>
                <w:lang w:val="en-GB" w:eastAsia="en-GB"/>
              </w:rPr>
              <w:t>K</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6BAB8B65"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3,437,879</w:t>
            </w:r>
          </w:p>
        </w:tc>
        <w:tc>
          <w:tcPr>
            <w:tcW w:w="1711"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2F0F9588" w14:textId="54C3698E">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4,152,606</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03E8555B" w14:textId="33A8AF40">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786.48</w:t>
            </w:r>
          </w:p>
        </w:tc>
        <w:tc>
          <w:tcPr>
            <w:tcW w:w="652"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031F3A76"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7.9%</w:t>
            </w:r>
          </w:p>
        </w:tc>
        <w:tc>
          <w:tcPr>
            <w:tcW w:w="967"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60126F65"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12.3%</w:t>
            </w:r>
          </w:p>
        </w:tc>
        <w:tc>
          <w:tcPr>
            <w:tcW w:w="86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3E486E2E"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4%</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BB7A82F" w14:textId="6D37DF5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5,020,075.0</w:t>
            </w:r>
          </w:p>
        </w:tc>
        <w:tc>
          <w:tcPr>
            <w:tcW w:w="101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4FBC0C3C" w14:textId="306D0A7C">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29,705</w:t>
            </w:r>
          </w:p>
        </w:tc>
        <w:tc>
          <w:tcPr>
            <w:tcW w:w="71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C2E28B1"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140</w:t>
            </w:r>
          </w:p>
        </w:tc>
      </w:tr>
      <w:tr w:rsidRPr="00150813" w:rsidR="006561C5" w:rsidTr="009B207B" w14:paraId="1F1F7672" w14:textId="77777777">
        <w:trPr>
          <w:trHeight w:val="889"/>
        </w:trPr>
        <w:tc>
          <w:tcPr>
            <w:tcW w:w="1043" w:type="dxa"/>
            <w:tcBorders>
              <w:top w:val="nil"/>
              <w:left w:val="single" w:color="auto" w:sz="4" w:space="0"/>
              <w:bottom w:val="single" w:color="auto" w:sz="4" w:space="0"/>
              <w:right w:val="single" w:color="auto" w:sz="4" w:space="0"/>
            </w:tcBorders>
            <w:shd w:val="clear" w:color="auto" w:fill="auto"/>
            <w:noWrap/>
            <w:vAlign w:val="bottom"/>
            <w:hideMark/>
          </w:tcPr>
          <w:p w:rsidRPr="00150813" w:rsidR="0014564B" w:rsidP="006561C5" w:rsidRDefault="0014564B" w14:paraId="43AF0AD1"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India</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FA40D9" w14:paraId="2D3ED82E" w14:textId="1D4C016D">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n/a</w:t>
            </w:r>
          </w:p>
        </w:tc>
        <w:tc>
          <w:tcPr>
            <w:tcW w:w="1711"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5EF837E6" w14:textId="47593FBD">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84,000,000.00</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3854E90" w14:textId="00ED1F43">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15,909.09</w:t>
            </w:r>
          </w:p>
        </w:tc>
        <w:tc>
          <w:tcPr>
            <w:tcW w:w="652"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5C23EC9D"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6.7%</w:t>
            </w:r>
          </w:p>
        </w:tc>
        <w:tc>
          <w:tcPr>
            <w:tcW w:w="967"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69391814"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9.1%</w:t>
            </w:r>
          </w:p>
        </w:tc>
        <w:tc>
          <w:tcPr>
            <w:tcW w:w="86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4E5D9753"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7831FBE" w14:textId="3A5CC854">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1,053,922.6</w:t>
            </w:r>
          </w:p>
        </w:tc>
        <w:tc>
          <w:tcPr>
            <w:tcW w:w="1018" w:type="dxa"/>
            <w:tcBorders>
              <w:top w:val="nil"/>
              <w:left w:val="nil"/>
              <w:bottom w:val="nil"/>
              <w:right w:val="nil"/>
            </w:tcBorders>
            <w:shd w:val="clear" w:color="auto" w:fill="auto"/>
            <w:noWrap/>
            <w:vAlign w:val="bottom"/>
            <w:hideMark/>
          </w:tcPr>
          <w:p w:rsidRPr="00150813" w:rsidR="0014564B" w:rsidP="006561C5" w:rsidRDefault="0014564B" w14:paraId="7C65BEFF" w14:textId="434CCA48">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71,478</w:t>
            </w:r>
          </w:p>
        </w:tc>
        <w:tc>
          <w:tcPr>
            <w:tcW w:w="718" w:type="dxa"/>
            <w:tcBorders>
              <w:top w:val="nil"/>
              <w:left w:val="single" w:color="auto" w:sz="4" w:space="0"/>
              <w:bottom w:val="single" w:color="auto" w:sz="4" w:space="0"/>
              <w:right w:val="single" w:color="auto" w:sz="4" w:space="0"/>
            </w:tcBorders>
            <w:shd w:val="clear" w:color="auto" w:fill="auto"/>
            <w:noWrap/>
            <w:vAlign w:val="bottom"/>
            <w:hideMark/>
          </w:tcPr>
          <w:p w:rsidRPr="00150813" w:rsidR="0014564B" w:rsidP="006561C5" w:rsidRDefault="0014564B" w14:paraId="665D29F5"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1175</w:t>
            </w:r>
          </w:p>
        </w:tc>
      </w:tr>
      <w:tr w:rsidRPr="00150813" w:rsidR="006561C5" w:rsidTr="009B207B" w14:paraId="3CBB5F71" w14:textId="77777777">
        <w:trPr>
          <w:trHeight w:val="889"/>
        </w:trPr>
        <w:tc>
          <w:tcPr>
            <w:tcW w:w="1043" w:type="dxa"/>
            <w:tcBorders>
              <w:top w:val="nil"/>
              <w:left w:val="single" w:color="auto" w:sz="4" w:space="0"/>
              <w:bottom w:val="single" w:color="auto" w:sz="4" w:space="0"/>
              <w:right w:val="single" w:color="auto" w:sz="4" w:space="0"/>
            </w:tcBorders>
            <w:shd w:val="clear" w:color="auto" w:fill="auto"/>
            <w:noWrap/>
            <w:vAlign w:val="bottom"/>
            <w:hideMark/>
          </w:tcPr>
          <w:p w:rsidRPr="00150813" w:rsidR="0014564B" w:rsidP="006561C5" w:rsidRDefault="0014564B" w14:paraId="150FB01C"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South Africa</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15E3DA99" w14:textId="35284522">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10,870,000</w:t>
            </w:r>
          </w:p>
        </w:tc>
        <w:tc>
          <w:tcPr>
            <w:tcW w:w="1711"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6145CA70" w14:textId="0E6D30F5">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13,090,000</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4D7426FE" w14:textId="12892BE4">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2,479.17</w:t>
            </w:r>
          </w:p>
        </w:tc>
        <w:tc>
          <w:tcPr>
            <w:tcW w:w="652"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C08C539"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7.0%</w:t>
            </w:r>
          </w:p>
        </w:tc>
        <w:tc>
          <w:tcPr>
            <w:tcW w:w="967"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7830B92"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20.4%</w:t>
            </w:r>
          </w:p>
        </w:tc>
        <w:tc>
          <w:tcPr>
            <w:tcW w:w="86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795FE795"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13%</w:t>
            </w:r>
          </w:p>
        </w:tc>
        <w:tc>
          <w:tcPr>
            <w:tcW w:w="1485"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6F442F98" w14:textId="5B114224">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798,414.2</w:t>
            </w:r>
          </w:p>
        </w:tc>
        <w:tc>
          <w:tcPr>
            <w:tcW w:w="1018" w:type="dxa"/>
            <w:tcBorders>
              <w:top w:val="single" w:color="auto" w:sz="4" w:space="0"/>
              <w:left w:val="nil"/>
              <w:bottom w:val="single" w:color="auto" w:sz="4" w:space="0"/>
              <w:right w:val="single" w:color="auto" w:sz="4" w:space="0"/>
            </w:tcBorders>
            <w:shd w:val="clear" w:color="auto" w:fill="auto"/>
            <w:noWrap/>
            <w:vAlign w:val="bottom"/>
            <w:hideMark/>
          </w:tcPr>
          <w:p w:rsidRPr="00150813" w:rsidR="0014564B" w:rsidP="006561C5" w:rsidRDefault="0014564B" w14:paraId="25E2CCC9" w14:textId="228A9E33">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303,721</w:t>
            </w:r>
          </w:p>
        </w:tc>
        <w:tc>
          <w:tcPr>
            <w:tcW w:w="718" w:type="dxa"/>
            <w:tcBorders>
              <w:top w:val="nil"/>
              <w:left w:val="nil"/>
              <w:bottom w:val="single" w:color="auto" w:sz="4" w:space="0"/>
              <w:right w:val="single" w:color="auto" w:sz="4" w:space="0"/>
            </w:tcBorders>
            <w:shd w:val="clear" w:color="auto" w:fill="auto"/>
            <w:noWrap/>
            <w:vAlign w:val="bottom"/>
            <w:hideMark/>
          </w:tcPr>
          <w:p w:rsidRPr="00150813" w:rsidR="0014564B" w:rsidP="006561C5" w:rsidRDefault="0014564B" w14:paraId="08D70A86" w14:textId="77777777">
            <w:pPr>
              <w:rPr>
                <w:rFonts w:ascii="Arial" w:hAnsi="Arial" w:eastAsia="Times New Roman" w:cs="Arial"/>
                <w:color w:val="000000"/>
                <w:sz w:val="20"/>
                <w:szCs w:val="20"/>
                <w:lang w:val="en-GB" w:eastAsia="en-GB"/>
              </w:rPr>
            </w:pPr>
            <w:r w:rsidRPr="00150813">
              <w:rPr>
                <w:rFonts w:ascii="Arial" w:hAnsi="Arial" w:eastAsia="Times New Roman" w:cs="Arial"/>
                <w:color w:val="000000"/>
                <w:sz w:val="20"/>
                <w:szCs w:val="20"/>
                <w:lang w:val="en-GB" w:eastAsia="en-GB"/>
              </w:rPr>
              <w:t>43</w:t>
            </w:r>
          </w:p>
        </w:tc>
      </w:tr>
    </w:tbl>
    <w:p w:rsidRPr="000F714C" w:rsidR="0014564B" w:rsidP="0014564B" w:rsidRDefault="0014564B" w14:paraId="7BCA86B9" w14:textId="77777777">
      <w:pPr>
        <w:pStyle w:val="paragraph"/>
        <w:spacing w:before="0" w:beforeAutospacing="0" w:after="0" w:afterAutospacing="0"/>
        <w:textAlignment w:val="baseline"/>
        <w:rPr>
          <w:rStyle w:val="eop"/>
          <w:rFonts w:ascii="Arial" w:hAnsi="Arial" w:cs="Arial"/>
          <w:sz w:val="21"/>
          <w:szCs w:val="21"/>
        </w:rPr>
      </w:pPr>
    </w:p>
    <w:p w:rsidRPr="000F714C" w:rsidR="006561C5" w:rsidP="006561C5" w:rsidRDefault="006561C5" w14:paraId="29C2F12B" w14:textId="77777777">
      <w:pPr>
        <w:pStyle w:val="paragraph"/>
        <w:spacing w:before="0" w:beforeAutospacing="0" w:after="0" w:afterAutospacing="0"/>
        <w:textAlignment w:val="baseline"/>
        <w:rPr>
          <w:rFonts w:ascii="Arial" w:hAnsi="Arial" w:cs="Arial"/>
          <w:sz w:val="21"/>
          <w:szCs w:val="21"/>
        </w:rPr>
      </w:pPr>
    </w:p>
    <w:p w:rsidRPr="007F0374" w:rsidR="006561C5" w:rsidP="006561C5" w:rsidRDefault="006561C5" w14:paraId="36AAC940" w14:textId="20A1804B">
      <w:pPr>
        <w:pStyle w:val="paragraph"/>
        <w:spacing w:before="0" w:beforeAutospacing="0" w:after="0" w:afterAutospacing="0"/>
        <w:textAlignment w:val="baseline"/>
        <w:rPr>
          <w:rStyle w:val="eop"/>
          <w:rFonts w:ascii="Arial" w:hAnsi="Arial" w:cs="Arial"/>
          <w:sz w:val="21"/>
          <w:szCs w:val="21"/>
          <w:u w:val="single"/>
        </w:rPr>
      </w:pPr>
      <w:r w:rsidRPr="007F0374">
        <w:rPr>
          <w:rStyle w:val="normaltextrun"/>
          <w:rFonts w:ascii="Arial" w:hAnsi="Arial" w:cs="Arial"/>
          <w:b/>
          <w:bCs/>
          <w:sz w:val="21"/>
          <w:szCs w:val="21"/>
          <w:u w:val="single"/>
          <w:lang w:val="en-US"/>
        </w:rPr>
        <w:t>Worker salaries</w:t>
      </w:r>
      <w:r w:rsidRPr="007F0374">
        <w:rPr>
          <w:rStyle w:val="eop"/>
          <w:rFonts w:ascii="Arial" w:hAnsi="Arial" w:cs="Arial"/>
          <w:sz w:val="21"/>
          <w:szCs w:val="21"/>
          <w:u w:val="single"/>
        </w:rPr>
        <w:t> </w:t>
      </w:r>
    </w:p>
    <w:p w:rsidRPr="000F714C" w:rsidR="000665A4" w:rsidP="006561C5" w:rsidRDefault="000665A4" w14:paraId="77790E05" w14:textId="77777777">
      <w:pPr>
        <w:pStyle w:val="paragraph"/>
        <w:spacing w:before="0" w:beforeAutospacing="0" w:after="0" w:afterAutospacing="0"/>
        <w:textAlignment w:val="baseline"/>
        <w:rPr>
          <w:rFonts w:ascii="Arial" w:hAnsi="Arial" w:cs="Arial"/>
          <w:sz w:val="21"/>
          <w:szCs w:val="21"/>
        </w:rPr>
      </w:pPr>
    </w:p>
    <w:p w:rsidRPr="000F714C" w:rsidR="006561C5" w:rsidP="684C28F0" w:rsidRDefault="006561C5" w14:paraId="50F772CB" w14:textId="7E9A7E40">
      <w:pPr>
        <w:pStyle w:val="paragraph"/>
        <w:tabs>
          <w:tab w:val="left" w:pos="1985"/>
        </w:tabs>
        <w:spacing w:before="0" w:beforeAutospacing="off" w:after="0" w:afterAutospacing="off"/>
        <w:jc w:val="both"/>
        <w:textAlignment w:val="baseline"/>
        <w:rPr>
          <w:rStyle w:val="eop"/>
          <w:rFonts w:ascii="Arial" w:hAnsi="Arial" w:cs="Arial"/>
          <w:sz w:val="21"/>
          <w:szCs w:val="21"/>
        </w:rPr>
      </w:pPr>
      <w:r w:rsidRPr="000F714C">
        <w:rPr>
          <w:rStyle w:val="normaltextrun"/>
          <w:rFonts w:ascii="Arial" w:hAnsi="Arial" w:cs="Arial"/>
          <w:sz w:val="21"/>
          <w:szCs w:val="21"/>
          <w:lang w:val="en-US"/>
        </w:rPr>
        <w:t xml:space="preserve">Worker salaries </w:t>
      </w:r>
      <w:r w:rsidRPr="000F714C">
        <w:rPr>
          <w:rStyle w:val="normaltextrun"/>
          <w:rFonts w:ascii="Arial" w:hAnsi="Arial" w:cs="Arial"/>
          <w:sz w:val="21"/>
          <w:szCs w:val="21"/>
          <w:lang w:val="en-US"/>
        </w:rPr>
        <w:t>are based</w:t>
      </w:r>
      <w:r w:rsidRPr="000F714C">
        <w:rPr>
          <w:rStyle w:val="normaltextrun"/>
          <w:rFonts w:ascii="Arial" w:hAnsi="Arial" w:cs="Arial"/>
          <w:sz w:val="21"/>
          <w:szCs w:val="21"/>
          <w:lang w:val="en-US"/>
        </w:rPr>
        <w:t xml:space="preserve"> on the Global Wage Report 2022-2023 data</w:t>
      </w:r>
      <w:r w:rsidRPr="000F714C" w:rsidR="00FA40D9">
        <w:rPr>
          <w:rStyle w:val="Refdenotaalfinal"/>
          <w:rFonts w:ascii="Arial" w:hAnsi="Arial" w:cs="Arial"/>
          <w:sz w:val="21"/>
          <w:szCs w:val="21"/>
          <w:lang w:val="en-US"/>
        </w:rPr>
        <w:endnoteReference w:id="7"/>
      </w:r>
      <w:r w:rsidRPr="000F714C">
        <w:rPr>
          <w:rStyle w:val="normaltextrun"/>
          <w:rFonts w:ascii="Arial" w:hAnsi="Arial" w:cs="Arial"/>
          <w:sz w:val="21"/>
          <w:szCs w:val="21"/>
          <w:lang w:val="en-US"/>
        </w:rPr>
        <w:t xml:space="preserve"> except for European Union countries</w:t>
      </w:r>
      <w:r w:rsidR="007F0374">
        <w:rPr>
          <w:rStyle w:val="normaltextrun"/>
          <w:rFonts w:ascii="Arial" w:hAnsi="Arial" w:cs="Arial"/>
          <w:sz w:val="21"/>
          <w:szCs w:val="21"/>
          <w:lang w:val="en-US"/>
        </w:rPr>
        <w:t>,</w:t>
      </w:r>
      <w:r w:rsidRPr="000F714C">
        <w:rPr>
          <w:rStyle w:val="normaltextrun"/>
          <w:rFonts w:ascii="Arial" w:hAnsi="Arial" w:cs="Arial"/>
          <w:sz w:val="21"/>
          <w:szCs w:val="21"/>
          <w:lang w:val="en-US"/>
        </w:rPr>
        <w:t xml:space="preserve"> which </w:t>
      </w:r>
      <w:r w:rsidRPr="000F714C">
        <w:rPr>
          <w:rStyle w:val="contextualspellingandgrammarerror"/>
          <w:rFonts w:ascii="Arial" w:hAnsi="Arial" w:cs="Arial"/>
          <w:sz w:val="21"/>
          <w:szCs w:val="21"/>
          <w:lang w:val="en-US"/>
        </w:rPr>
        <w:t>is</w:t>
      </w:r>
      <w:r w:rsidRPr="000F714C">
        <w:rPr>
          <w:rStyle w:val="normaltextrun"/>
          <w:rFonts w:ascii="Arial" w:hAnsi="Arial" w:cs="Arial"/>
          <w:sz w:val="21"/>
          <w:szCs w:val="21"/>
          <w:lang w:val="en-US"/>
        </w:rPr>
        <w:t xml:space="preserve"> derived from </w:t>
      </w:r>
      <w:r w:rsidRPr="000F714C">
        <w:rPr>
          <w:rStyle w:val="spellingerror"/>
          <w:rFonts w:ascii="Arial" w:hAnsi="Arial" w:cs="Arial"/>
          <w:sz w:val="21"/>
          <w:szCs w:val="21"/>
          <w:lang w:val="en-US"/>
        </w:rPr>
        <w:t>EuroStat</w:t>
      </w:r>
      <w:r w:rsidRPr="000F714C" w:rsidR="00726537">
        <w:rPr>
          <w:rStyle w:val="Refdenotaalfinal"/>
          <w:rFonts w:ascii="Arial" w:hAnsi="Arial" w:cs="Arial"/>
          <w:sz w:val="21"/>
          <w:szCs w:val="21"/>
          <w:lang w:val="en-US"/>
        </w:rPr>
        <w:endnoteReference w:id="8"/>
      </w:r>
      <w:r w:rsidRPr="000F714C" w:rsidR="00FA40D9">
        <w:rPr>
          <w:rStyle w:val="normaltextrun"/>
          <w:rFonts w:ascii="Arial" w:hAnsi="Arial" w:cs="Arial"/>
          <w:sz w:val="21"/>
          <w:szCs w:val="21"/>
          <w:lang w:val="en-US"/>
        </w:rPr>
        <w:t xml:space="preserve"> and UK, Australia and Argentina</w:t>
      </w:r>
      <w:r w:rsidR="007F0374">
        <w:rPr>
          <w:rStyle w:val="normaltextrun"/>
          <w:rFonts w:ascii="Arial" w:hAnsi="Arial" w:cs="Arial"/>
          <w:sz w:val="21"/>
          <w:szCs w:val="21"/>
          <w:lang w:val="en-US"/>
        </w:rPr>
        <w:t>,</w:t>
      </w:r>
      <w:r w:rsidRPr="000F714C" w:rsidR="00FA40D9">
        <w:rPr>
          <w:rStyle w:val="normaltextrun"/>
          <w:rFonts w:ascii="Arial" w:hAnsi="Arial" w:cs="Arial"/>
          <w:sz w:val="21"/>
          <w:szCs w:val="21"/>
          <w:lang w:val="en-US"/>
        </w:rPr>
        <w:t xml:space="preserve"> where we used national statistics bureaus. </w:t>
      </w:r>
      <w:r w:rsidRPr="000F714C">
        <w:rPr>
          <w:rStyle w:val="normaltextrun"/>
          <w:rFonts w:ascii="Arial" w:hAnsi="Arial" w:cs="Arial"/>
          <w:sz w:val="21"/>
          <w:szCs w:val="21"/>
          <w:lang w:val="en-US"/>
        </w:rPr>
        <w:t>Other data used for the dataset is exchange rates from the US treasury</w:t>
      </w:r>
      <w:r w:rsidRPr="000F714C" w:rsidR="00726537">
        <w:rPr>
          <w:rStyle w:val="Refdenotaalfinal"/>
          <w:rFonts w:ascii="Arial" w:hAnsi="Arial" w:cs="Arial"/>
          <w:sz w:val="21"/>
          <w:szCs w:val="21"/>
          <w:lang w:val="en-US"/>
        </w:rPr>
        <w:endnoteReference w:id="9"/>
      </w:r>
      <w:r w:rsidRPr="000F714C">
        <w:rPr>
          <w:rStyle w:val="normaltextrun"/>
          <w:rFonts w:ascii="Arial" w:hAnsi="Arial" w:cs="Arial"/>
          <w:sz w:val="21"/>
          <w:szCs w:val="21"/>
          <w:lang w:val="en-US"/>
        </w:rPr>
        <w:t xml:space="preserve">, number </w:t>
      </w:r>
      <w:r w:rsidRPr="000F714C">
        <w:rPr>
          <w:rStyle w:val="normaltextrun"/>
          <w:rFonts w:ascii="Arial" w:hAnsi="Arial" w:cs="Arial"/>
          <w:sz w:val="21"/>
          <w:szCs w:val="21"/>
          <w:lang w:val="en-US"/>
        </w:rPr>
        <w:lastRenderedPageBreak/>
        <w:t>of people employed per country from the ILO</w:t>
      </w:r>
      <w:r w:rsidRPr="000F714C" w:rsidR="00726537">
        <w:rPr>
          <w:rStyle w:val="Refdenotaalfinal"/>
          <w:rFonts w:ascii="Arial" w:hAnsi="Arial" w:cs="Arial"/>
          <w:sz w:val="21"/>
          <w:szCs w:val="21"/>
          <w:lang w:val="en-US"/>
        </w:rPr>
        <w:endnoteReference w:id="10"/>
      </w:r>
      <w:r w:rsidRPr="000F714C">
        <w:rPr>
          <w:rStyle w:val="normaltextrun"/>
          <w:rFonts w:ascii="Arial" w:hAnsi="Arial" w:cs="Arial"/>
          <w:sz w:val="21"/>
          <w:szCs w:val="21"/>
          <w:lang w:val="en-US"/>
        </w:rPr>
        <w:t>, working hours in the year from OECD</w:t>
      </w:r>
      <w:r w:rsidRPr="000F714C" w:rsidR="00726537">
        <w:rPr>
          <w:rStyle w:val="Refdenotaalfinal"/>
          <w:rFonts w:ascii="Arial" w:hAnsi="Arial" w:cs="Arial"/>
          <w:sz w:val="21"/>
          <w:szCs w:val="21"/>
          <w:lang w:val="en-US"/>
        </w:rPr>
        <w:endnoteReference w:id="11"/>
      </w:r>
      <w:r w:rsidRPr="000F714C" w:rsidR="00726537">
        <w:rPr>
          <w:rFonts w:ascii="Arial" w:hAnsi="Arial" w:cs="Arial"/>
          <w:sz w:val="21"/>
          <w:szCs w:val="21"/>
        </w:rPr>
        <w:t xml:space="preserve"> </w:t>
      </w:r>
      <w:r w:rsidRPr="000F714C">
        <w:rPr>
          <w:rStyle w:val="normaltextrun"/>
          <w:rFonts w:ascii="Arial" w:hAnsi="Arial" w:cs="Arial"/>
          <w:sz w:val="21"/>
          <w:szCs w:val="21"/>
          <w:lang w:val="en-US"/>
        </w:rPr>
        <w:t>and HCPI from the World Bank</w:t>
      </w:r>
      <w:r w:rsidRPr="000F714C" w:rsidR="00726537">
        <w:rPr>
          <w:rStyle w:val="Refdenotaalfinal"/>
          <w:rFonts w:ascii="Arial" w:hAnsi="Arial" w:cs="Arial"/>
          <w:sz w:val="21"/>
          <w:szCs w:val="21"/>
          <w:lang w:val="en-US"/>
        </w:rPr>
        <w:endnoteReference w:id="12"/>
      </w:r>
      <w:r w:rsidRPr="000F714C">
        <w:rPr>
          <w:rStyle w:val="normaltextrun"/>
          <w:rFonts w:ascii="Arial" w:hAnsi="Arial" w:cs="Arial"/>
          <w:sz w:val="21"/>
          <w:szCs w:val="21"/>
          <w:lang w:val="en-US"/>
        </w:rPr>
        <w:t xml:space="preserve">. We assume </w:t>
      </w:r>
      <w:r w:rsidRPr="000F714C">
        <w:rPr>
          <w:rStyle w:val="contextualspellingandgrammarerror"/>
          <w:rFonts w:ascii="Arial" w:hAnsi="Arial" w:cs="Arial"/>
          <w:sz w:val="21"/>
          <w:szCs w:val="21"/>
          <w:lang w:val="en-US"/>
        </w:rPr>
        <w:t>8-hour days</w:t>
      </w:r>
      <w:r w:rsidRPr="000F714C">
        <w:rPr>
          <w:rStyle w:val="normaltextrun"/>
          <w:rFonts w:ascii="Arial" w:hAnsi="Arial" w:cs="Arial"/>
          <w:sz w:val="21"/>
          <w:szCs w:val="21"/>
          <w:lang w:val="en-US"/>
        </w:rPr>
        <w:t xml:space="preserve"> and 220 working days a year. Figures on the value of lost wages and days worked ‘for free’ are compared to if wages had risen in line with inflation.</w:t>
      </w:r>
      <w:r w:rsidRPr="000F714C">
        <w:rPr>
          <w:rStyle w:val="eop"/>
          <w:rFonts w:ascii="Arial" w:hAnsi="Arial" w:cs="Arial"/>
          <w:sz w:val="21"/>
          <w:szCs w:val="21"/>
        </w:rPr>
        <w:t> </w:t>
      </w:r>
      <w:r w:rsidRPr="000F714C" w:rsidR="00726537">
        <w:rPr>
          <w:rStyle w:val="eop"/>
          <w:rFonts w:ascii="Arial" w:hAnsi="Arial" w:cs="Arial"/>
          <w:sz w:val="21"/>
          <w:szCs w:val="21"/>
        </w:rPr>
        <w:t>As we are using a range of databases to calculate different component</w:t>
      </w:r>
      <w:r w:rsidR="007F0374">
        <w:rPr>
          <w:rStyle w:val="eop"/>
          <w:rFonts w:ascii="Arial" w:hAnsi="Arial" w:cs="Arial"/>
          <w:sz w:val="21"/>
          <w:szCs w:val="21"/>
        </w:rPr>
        <w:t>s</w:t>
      </w:r>
      <w:r w:rsidRPr="000F714C" w:rsidR="00726537">
        <w:rPr>
          <w:rStyle w:val="eop"/>
          <w:rFonts w:ascii="Arial" w:hAnsi="Arial" w:cs="Arial"/>
          <w:sz w:val="21"/>
          <w:szCs w:val="21"/>
        </w:rPr>
        <w:t xml:space="preserve"> average salaries, figures may differ from average annual salaries reported by different sources because of different methodologies used. EU wage data is provided in Euros by Eurostat and overall figures are converted into USD, given currency fluctuations this may impact overall figures.</w:t>
      </w:r>
    </w:p>
    <w:p w:rsidRPr="007F0374" w:rsidR="005E1666" w:rsidP="006561C5" w:rsidRDefault="006561C5" w14:paraId="411094F2" w14:textId="38DD204A">
      <w:pPr>
        <w:pStyle w:val="paragraph"/>
        <w:spacing w:before="0" w:beforeAutospacing="0" w:after="0" w:afterAutospacing="0"/>
        <w:textAlignment w:val="baseline"/>
        <w:rPr>
          <w:rStyle w:val="normaltextrun"/>
          <w:rFonts w:ascii="Arial" w:hAnsi="Arial" w:cs="Arial"/>
          <w:b/>
          <w:bCs/>
          <w:sz w:val="21"/>
          <w:szCs w:val="21"/>
          <w:u w:val="single"/>
          <w:lang w:val="en-US"/>
        </w:rPr>
      </w:pPr>
      <w:r w:rsidRPr="000F714C">
        <w:rPr>
          <w:rStyle w:val="scxw81815276"/>
          <w:rFonts w:ascii="Arial" w:hAnsi="Arial" w:cs="Arial"/>
          <w:sz w:val="21"/>
          <w:szCs w:val="21"/>
        </w:rPr>
        <w:t> </w:t>
      </w:r>
      <w:r w:rsidRPr="000F714C">
        <w:rPr>
          <w:rFonts w:ascii="Arial" w:hAnsi="Arial" w:cs="Arial"/>
          <w:sz w:val="21"/>
          <w:szCs w:val="21"/>
        </w:rPr>
        <w:br/>
      </w:r>
      <w:r w:rsidRPr="007F0374">
        <w:rPr>
          <w:rStyle w:val="normaltextrun"/>
          <w:rFonts w:ascii="Arial" w:hAnsi="Arial" w:cs="Arial"/>
          <w:b/>
          <w:bCs/>
          <w:sz w:val="21"/>
          <w:szCs w:val="21"/>
          <w:u w:val="single"/>
          <w:lang w:val="en-US"/>
        </w:rPr>
        <w:t>Unpaid care wor</w:t>
      </w:r>
      <w:r w:rsidRPr="007F0374" w:rsidR="005E1666">
        <w:rPr>
          <w:rStyle w:val="normaltextrun"/>
          <w:rFonts w:ascii="Arial" w:hAnsi="Arial" w:cs="Arial"/>
          <w:b/>
          <w:bCs/>
          <w:sz w:val="21"/>
          <w:szCs w:val="21"/>
          <w:u w:val="single"/>
          <w:lang w:val="en-US"/>
        </w:rPr>
        <w:t>k</w:t>
      </w:r>
    </w:p>
    <w:p w:rsidRPr="000F714C" w:rsidR="0014564B" w:rsidP="007F0374" w:rsidRDefault="005E1666" w14:paraId="36F585F5" w14:textId="51105CCC">
      <w:pPr>
        <w:pStyle w:val="paragraph"/>
        <w:jc w:val="both"/>
        <w:textAlignment w:val="baseline"/>
        <w:rPr>
          <w:rStyle w:val="normaltextrun"/>
          <w:rFonts w:ascii="Arial" w:hAnsi="Arial" w:cs="Arial"/>
          <w:sz w:val="21"/>
          <w:szCs w:val="21"/>
          <w:lang w:val="en-US"/>
        </w:rPr>
      </w:pPr>
      <w:r w:rsidRPr="000F714C">
        <w:rPr>
          <w:rStyle w:val="normaltextrun"/>
          <w:rFonts w:ascii="Arial" w:hAnsi="Arial" w:cs="Arial"/>
          <w:sz w:val="21"/>
          <w:szCs w:val="21"/>
          <w:lang w:val="en-US"/>
        </w:rPr>
        <w:t xml:space="preserve">In the </w:t>
      </w:r>
      <w:r w:rsidR="007F0374">
        <w:rPr>
          <w:rStyle w:val="normaltextrun"/>
          <w:rFonts w:ascii="Arial" w:hAnsi="Arial" w:cs="Arial"/>
          <w:sz w:val="21"/>
          <w:szCs w:val="21"/>
          <w:lang w:val="en-US"/>
        </w:rPr>
        <w:t>“</w:t>
      </w:r>
      <w:hyperlink w:history="1" r:id="rId8">
        <w:r w:rsidRPr="007F0374">
          <w:rPr>
            <w:rStyle w:val="Hipervnculo"/>
            <w:rFonts w:ascii="Arial" w:hAnsi="Arial" w:cs="Arial"/>
            <w:i/>
            <w:sz w:val="21"/>
            <w:szCs w:val="21"/>
            <w:lang w:val="en-US"/>
          </w:rPr>
          <w:t>Time to Care</w:t>
        </w:r>
      </w:hyperlink>
      <w:r w:rsidR="007F0374">
        <w:rPr>
          <w:rStyle w:val="normaltextrun"/>
          <w:rFonts w:ascii="Arial" w:hAnsi="Arial" w:cs="Arial"/>
          <w:sz w:val="21"/>
          <w:szCs w:val="21"/>
          <w:lang w:val="en-US"/>
        </w:rPr>
        <w:t>”</w:t>
      </w:r>
      <w:r w:rsidRPr="000F714C">
        <w:rPr>
          <w:rStyle w:val="normaltextrun"/>
          <w:rFonts w:ascii="Arial" w:hAnsi="Arial" w:cs="Arial"/>
          <w:sz w:val="21"/>
          <w:szCs w:val="21"/>
          <w:lang w:val="en-US"/>
        </w:rPr>
        <w:t xml:space="preserve"> report, Oxfam estimated that </w:t>
      </w:r>
      <w:r w:rsidR="007F0374">
        <w:rPr>
          <w:rStyle w:val="normaltextrun"/>
          <w:rFonts w:ascii="Arial" w:hAnsi="Arial" w:cs="Arial"/>
          <w:sz w:val="21"/>
          <w:szCs w:val="21"/>
          <w:lang w:val="en-US"/>
        </w:rPr>
        <w:t xml:space="preserve">women and girls </w:t>
      </w:r>
      <w:r w:rsidRPr="000F714C">
        <w:rPr>
          <w:rStyle w:val="normaltextrun"/>
          <w:rFonts w:ascii="Arial" w:hAnsi="Arial" w:cs="Arial"/>
          <w:sz w:val="21"/>
          <w:szCs w:val="21"/>
          <w:lang w:val="en-US"/>
        </w:rPr>
        <w:t>are putting in 12.5 billion hours every day</w:t>
      </w:r>
      <w:r w:rsidRPr="000F714C" w:rsidR="00AF70F9">
        <w:rPr>
          <w:rStyle w:val="normaltextrun"/>
          <w:rFonts w:ascii="Arial" w:hAnsi="Arial" w:cs="Arial"/>
          <w:sz w:val="21"/>
          <w:szCs w:val="21"/>
          <w:lang w:val="en-US"/>
        </w:rPr>
        <w:t xml:space="preserve"> </w:t>
      </w:r>
      <w:r w:rsidRPr="000F714C">
        <w:rPr>
          <w:rStyle w:val="normaltextrun"/>
          <w:rFonts w:ascii="Arial" w:hAnsi="Arial" w:cs="Arial"/>
          <w:sz w:val="21"/>
          <w:szCs w:val="21"/>
          <w:lang w:val="en-US"/>
        </w:rPr>
        <w:t xml:space="preserve">of care work </w:t>
      </w:r>
      <w:proofErr w:type="gramStart"/>
      <w:r w:rsidRPr="000F714C">
        <w:rPr>
          <w:rStyle w:val="normaltextrun"/>
          <w:rFonts w:ascii="Arial" w:hAnsi="Arial" w:cs="Arial"/>
          <w:sz w:val="21"/>
          <w:szCs w:val="21"/>
          <w:lang w:val="en-US"/>
        </w:rPr>
        <w:t>for free</w:t>
      </w:r>
      <w:proofErr w:type="gramEnd"/>
      <w:r w:rsidRPr="000F714C" w:rsidR="00AF70F9">
        <w:rPr>
          <w:rStyle w:val="normaltextrun"/>
          <w:rFonts w:ascii="Arial" w:hAnsi="Arial" w:cs="Arial"/>
          <w:sz w:val="21"/>
          <w:szCs w:val="21"/>
          <w:lang w:val="en-US"/>
        </w:rPr>
        <w:t>.</w:t>
      </w:r>
      <w:r w:rsidRPr="000F714C" w:rsidR="00AF70F9">
        <w:rPr>
          <w:rStyle w:val="Refdenotaalfinal"/>
          <w:rFonts w:ascii="Arial" w:hAnsi="Arial" w:cs="Arial"/>
          <w:sz w:val="21"/>
          <w:szCs w:val="21"/>
          <w:lang w:val="en-US"/>
        </w:rPr>
        <w:endnoteReference w:id="13"/>
      </w:r>
      <w:r w:rsidRPr="000F714C" w:rsidR="00AF70F9">
        <w:rPr>
          <w:rStyle w:val="normaltextrun"/>
          <w:rFonts w:ascii="Arial" w:hAnsi="Arial" w:cs="Arial"/>
          <w:sz w:val="21"/>
          <w:szCs w:val="21"/>
          <w:lang w:val="en-US"/>
        </w:rPr>
        <w:t xml:space="preserve"> This </w:t>
      </w:r>
      <w:proofErr w:type="gramStart"/>
      <w:r w:rsidRPr="000F714C" w:rsidR="00AF70F9">
        <w:rPr>
          <w:rStyle w:val="normaltextrun"/>
          <w:rFonts w:ascii="Arial" w:hAnsi="Arial" w:cs="Arial"/>
          <w:sz w:val="21"/>
          <w:szCs w:val="21"/>
          <w:lang w:val="en-US"/>
        </w:rPr>
        <w:t>can also be expressed</w:t>
      </w:r>
      <w:proofErr w:type="gramEnd"/>
      <w:r w:rsidRPr="000F714C" w:rsidR="00AF70F9">
        <w:rPr>
          <w:rStyle w:val="normaltextrun"/>
          <w:rFonts w:ascii="Arial" w:hAnsi="Arial" w:cs="Arial"/>
          <w:sz w:val="21"/>
          <w:szCs w:val="21"/>
          <w:lang w:val="en-US"/>
        </w:rPr>
        <w:t xml:space="preserve"> as:</w:t>
      </w:r>
    </w:p>
    <w:tbl>
      <w:tblPr>
        <w:tblW w:w="3117" w:type="dxa"/>
        <w:tblLook w:val="04A0" w:firstRow="1" w:lastRow="0" w:firstColumn="1" w:lastColumn="0" w:noHBand="0" w:noVBand="1"/>
      </w:tblPr>
      <w:tblGrid>
        <w:gridCol w:w="2140"/>
        <w:gridCol w:w="977"/>
      </w:tblGrid>
      <w:tr w:rsidRPr="000F714C" w:rsidR="00BC6BA0" w:rsidTr="00BC6BA0" w14:paraId="6AA670BB" w14:textId="77777777">
        <w:trPr>
          <w:trHeight w:val="288"/>
        </w:trPr>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F714C" w:rsidR="00BC6BA0" w:rsidP="00BC6BA0" w:rsidRDefault="00BC6BA0" w14:paraId="39FF4731"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 xml:space="preserve">              12,500,000,000 </w:t>
            </w:r>
          </w:p>
        </w:tc>
        <w:tc>
          <w:tcPr>
            <w:tcW w:w="977" w:type="dxa"/>
            <w:tcBorders>
              <w:top w:val="single" w:color="auto" w:sz="4" w:space="0"/>
              <w:left w:val="nil"/>
              <w:bottom w:val="single" w:color="auto" w:sz="4" w:space="0"/>
              <w:right w:val="single" w:color="auto" w:sz="4" w:space="0"/>
            </w:tcBorders>
            <w:shd w:val="clear" w:color="auto" w:fill="auto"/>
            <w:noWrap/>
            <w:vAlign w:val="bottom"/>
            <w:hideMark/>
          </w:tcPr>
          <w:p w:rsidRPr="000F714C" w:rsidR="00BC6BA0" w:rsidP="00BC6BA0" w:rsidRDefault="00BC6BA0" w14:paraId="115AFCF1"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Per day</w:t>
            </w:r>
          </w:p>
        </w:tc>
      </w:tr>
      <w:tr w:rsidRPr="000F714C" w:rsidR="00BC6BA0" w:rsidTr="00BC6BA0" w14:paraId="4845EA10" w14:textId="77777777">
        <w:trPr>
          <w:trHeight w:val="288"/>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0F714C" w:rsidR="00BC6BA0" w:rsidP="00BC6BA0" w:rsidRDefault="00BC6BA0" w14:paraId="0E3FA535"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 xml:space="preserve">              87,740,384,615 </w:t>
            </w:r>
          </w:p>
        </w:tc>
        <w:tc>
          <w:tcPr>
            <w:tcW w:w="977" w:type="dxa"/>
            <w:tcBorders>
              <w:top w:val="nil"/>
              <w:left w:val="nil"/>
              <w:bottom w:val="single" w:color="auto" w:sz="4" w:space="0"/>
              <w:right w:val="single" w:color="auto" w:sz="4" w:space="0"/>
            </w:tcBorders>
            <w:shd w:val="clear" w:color="auto" w:fill="auto"/>
            <w:noWrap/>
            <w:vAlign w:val="bottom"/>
            <w:hideMark/>
          </w:tcPr>
          <w:p w:rsidRPr="000F714C" w:rsidR="00BC6BA0" w:rsidP="00BC6BA0" w:rsidRDefault="00BC6BA0" w14:paraId="3AB18B9D"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Per week</w:t>
            </w:r>
          </w:p>
        </w:tc>
      </w:tr>
      <w:tr w:rsidRPr="000F714C" w:rsidR="00BC6BA0" w:rsidTr="00BC6BA0" w14:paraId="1C9C368E" w14:textId="77777777">
        <w:trPr>
          <w:trHeight w:val="288"/>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0F714C" w:rsidR="00BC6BA0" w:rsidP="00BC6BA0" w:rsidRDefault="00BC6BA0" w14:paraId="3D315476"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 xml:space="preserve">            380,208,333,333 </w:t>
            </w:r>
          </w:p>
        </w:tc>
        <w:tc>
          <w:tcPr>
            <w:tcW w:w="977" w:type="dxa"/>
            <w:tcBorders>
              <w:top w:val="nil"/>
              <w:left w:val="nil"/>
              <w:bottom w:val="single" w:color="auto" w:sz="4" w:space="0"/>
              <w:right w:val="single" w:color="auto" w:sz="4" w:space="0"/>
            </w:tcBorders>
            <w:shd w:val="clear" w:color="auto" w:fill="auto"/>
            <w:noWrap/>
            <w:vAlign w:val="bottom"/>
            <w:hideMark/>
          </w:tcPr>
          <w:p w:rsidRPr="000F714C" w:rsidR="00BC6BA0" w:rsidP="00BC6BA0" w:rsidRDefault="00BC6BA0" w14:paraId="2881F4E1"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Per month</w:t>
            </w:r>
          </w:p>
        </w:tc>
        <w:bookmarkStart w:name="_GoBack" w:id="0"/>
        <w:bookmarkEnd w:id="0"/>
      </w:tr>
      <w:tr w:rsidRPr="000F714C" w:rsidR="00BC6BA0" w:rsidTr="00BC6BA0" w14:paraId="32F1FA21" w14:textId="77777777">
        <w:trPr>
          <w:trHeight w:val="288"/>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0F714C" w:rsidR="00BC6BA0" w:rsidP="00BC6BA0" w:rsidRDefault="00BC6BA0" w14:paraId="2FE59EC2"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 xml:space="preserve">        4,562,500,000,000 </w:t>
            </w:r>
          </w:p>
        </w:tc>
        <w:tc>
          <w:tcPr>
            <w:tcW w:w="977" w:type="dxa"/>
            <w:tcBorders>
              <w:top w:val="nil"/>
              <w:left w:val="nil"/>
              <w:bottom w:val="single" w:color="auto" w:sz="4" w:space="0"/>
              <w:right w:val="single" w:color="auto" w:sz="4" w:space="0"/>
            </w:tcBorders>
            <w:shd w:val="clear" w:color="auto" w:fill="auto"/>
            <w:noWrap/>
            <w:vAlign w:val="bottom"/>
            <w:hideMark/>
          </w:tcPr>
          <w:p w:rsidRPr="000F714C" w:rsidR="00BC6BA0" w:rsidP="00BC6BA0" w:rsidRDefault="00BC6BA0" w14:paraId="170842A9" w14:textId="77777777">
            <w:pPr>
              <w:rPr>
                <w:rFonts w:ascii="Arial" w:hAnsi="Arial" w:eastAsia="Times New Roman" w:cs="Arial"/>
                <w:color w:val="000000"/>
                <w:sz w:val="21"/>
                <w:szCs w:val="21"/>
                <w:lang w:val="en-GB" w:eastAsia="en-GB"/>
              </w:rPr>
            </w:pPr>
            <w:r w:rsidRPr="000F714C">
              <w:rPr>
                <w:rFonts w:ascii="Arial" w:hAnsi="Arial" w:eastAsia="Times New Roman" w:cs="Arial"/>
                <w:color w:val="000000"/>
                <w:sz w:val="21"/>
                <w:szCs w:val="21"/>
                <w:lang w:val="en-GB" w:eastAsia="en-GB"/>
              </w:rPr>
              <w:t>Per year</w:t>
            </w:r>
          </w:p>
        </w:tc>
      </w:tr>
    </w:tbl>
    <w:p w:rsidRPr="000F714C" w:rsidR="00BC6BA0" w:rsidRDefault="00BC6BA0" w14:paraId="3515068C" w14:textId="77777777">
      <w:pPr>
        <w:rPr>
          <w:rFonts w:ascii="Arial" w:hAnsi="Arial" w:cs="Arial"/>
          <w:b/>
          <w:bCs/>
          <w:sz w:val="21"/>
          <w:szCs w:val="21"/>
        </w:rPr>
      </w:pPr>
    </w:p>
    <w:p w:rsidRPr="007F0374" w:rsidR="005E1666" w:rsidRDefault="005E1666" w14:paraId="02923D94" w14:textId="688E45B4">
      <w:pPr>
        <w:rPr>
          <w:rFonts w:ascii="Arial" w:hAnsi="Arial" w:cs="Arial"/>
          <w:b/>
          <w:bCs/>
          <w:sz w:val="21"/>
          <w:szCs w:val="21"/>
          <w:u w:val="single"/>
        </w:rPr>
      </w:pPr>
      <w:r w:rsidRPr="007F0374">
        <w:rPr>
          <w:rFonts w:ascii="Arial" w:hAnsi="Arial" w:cs="Arial"/>
          <w:b/>
          <w:bCs/>
          <w:sz w:val="21"/>
          <w:szCs w:val="21"/>
          <w:u w:val="single"/>
        </w:rPr>
        <w:t>Shareholder payouts</w:t>
      </w:r>
    </w:p>
    <w:p w:rsidRPr="000F714C" w:rsidR="000665A4" w:rsidRDefault="000665A4" w14:paraId="17A0DE91" w14:textId="77777777">
      <w:pPr>
        <w:rPr>
          <w:rFonts w:ascii="Arial" w:hAnsi="Arial" w:cs="Arial"/>
          <w:b/>
          <w:bCs/>
          <w:sz w:val="21"/>
          <w:szCs w:val="21"/>
        </w:rPr>
      </w:pPr>
    </w:p>
    <w:p w:rsidRPr="000F714C" w:rsidR="005E1666" w:rsidP="007F0374" w:rsidRDefault="009B207B" w14:paraId="225925D4" w14:textId="2E2CBE3D">
      <w:pPr>
        <w:jc w:val="both"/>
        <w:rPr>
          <w:rFonts w:ascii="Arial" w:hAnsi="Arial" w:cs="Arial"/>
          <w:sz w:val="21"/>
          <w:szCs w:val="21"/>
        </w:rPr>
      </w:pPr>
      <w:r w:rsidRPr="000F714C">
        <w:rPr>
          <w:rFonts w:ascii="Arial" w:hAnsi="Arial" w:cs="Arial"/>
          <w:sz w:val="21"/>
          <w:szCs w:val="21"/>
        </w:rPr>
        <w:t xml:space="preserve">Data on shareholder payouts </w:t>
      </w:r>
      <w:proofErr w:type="gramStart"/>
      <w:r w:rsidRPr="000F714C">
        <w:rPr>
          <w:rFonts w:ascii="Arial" w:hAnsi="Arial" w:cs="Arial"/>
          <w:sz w:val="21"/>
          <w:szCs w:val="21"/>
        </w:rPr>
        <w:t>was taken</w:t>
      </w:r>
      <w:proofErr w:type="gramEnd"/>
      <w:r w:rsidRPr="000F714C">
        <w:rPr>
          <w:rFonts w:ascii="Arial" w:hAnsi="Arial" w:cs="Arial"/>
          <w:sz w:val="21"/>
          <w:szCs w:val="21"/>
        </w:rPr>
        <w:t xml:space="preserve"> from the Janus Henderson Global Dividend Index</w:t>
      </w:r>
      <w:r w:rsidRPr="000F714C">
        <w:rPr>
          <w:rStyle w:val="Refdenotaalfinal"/>
          <w:rFonts w:ascii="Arial" w:hAnsi="Arial" w:cs="Arial"/>
          <w:sz w:val="21"/>
          <w:szCs w:val="21"/>
        </w:rPr>
        <w:endnoteReference w:id="14"/>
      </w:r>
      <w:r w:rsidRPr="000F714C" w:rsidR="00B731CD">
        <w:rPr>
          <w:rFonts w:ascii="Arial" w:hAnsi="Arial" w:cs="Arial"/>
          <w:sz w:val="21"/>
          <w:szCs w:val="21"/>
        </w:rPr>
        <w:t xml:space="preserve">. Figures </w:t>
      </w:r>
      <w:proofErr w:type="gramStart"/>
      <w:r w:rsidRPr="000F714C" w:rsidR="00B731CD">
        <w:rPr>
          <w:rFonts w:ascii="Arial" w:hAnsi="Arial" w:cs="Arial"/>
          <w:sz w:val="21"/>
          <w:szCs w:val="21"/>
        </w:rPr>
        <w:t>were adjusted</w:t>
      </w:r>
      <w:proofErr w:type="gramEnd"/>
      <w:r w:rsidRPr="000F714C" w:rsidR="00B731CD">
        <w:rPr>
          <w:rFonts w:ascii="Arial" w:hAnsi="Arial" w:cs="Arial"/>
          <w:sz w:val="21"/>
          <w:szCs w:val="21"/>
        </w:rPr>
        <w:t xml:space="preserve"> for inflation using the World Bank HCPI figures. A weighted average of the real dividend change </w:t>
      </w:r>
      <w:proofErr w:type="gramStart"/>
      <w:r w:rsidRPr="000F714C" w:rsidR="00B731CD">
        <w:rPr>
          <w:rFonts w:ascii="Arial" w:hAnsi="Arial" w:cs="Arial"/>
          <w:sz w:val="21"/>
          <w:szCs w:val="21"/>
        </w:rPr>
        <w:t>was used</w:t>
      </w:r>
      <w:proofErr w:type="gramEnd"/>
      <w:r w:rsidRPr="000F714C" w:rsidR="00B731CD">
        <w:rPr>
          <w:rFonts w:ascii="Arial" w:hAnsi="Arial" w:cs="Arial"/>
          <w:sz w:val="21"/>
          <w:szCs w:val="21"/>
        </w:rPr>
        <w:t>, using the 2022 dividends for each country as the weighting factor, to get a more accurate average.</w:t>
      </w:r>
    </w:p>
    <w:p w:rsidRPr="000F714C" w:rsidR="00D627AA" w:rsidRDefault="00D627AA" w14:paraId="18FE9A7A" w14:textId="77777777">
      <w:pPr>
        <w:rPr>
          <w:rFonts w:ascii="Arial" w:hAnsi="Arial" w:cs="Arial"/>
          <w:sz w:val="21"/>
          <w:szCs w:val="21"/>
        </w:rPr>
      </w:pPr>
    </w:p>
    <w:sectPr w:rsidRPr="000F714C" w:rsidR="00D627AA" w:rsidSect="00EE6E4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0A" w:rsidP="0014564B" w:rsidRDefault="00B2470A" w14:paraId="6E9A084A" w14:textId="77777777">
      <w:r>
        <w:separator/>
      </w:r>
    </w:p>
  </w:endnote>
  <w:endnote w:type="continuationSeparator" w:id="0">
    <w:p w:rsidR="00B2470A" w:rsidP="0014564B" w:rsidRDefault="00B2470A" w14:paraId="087555D2" w14:textId="77777777">
      <w:r>
        <w:continuationSeparator/>
      </w:r>
    </w:p>
  </w:endnote>
  <w:endnote w:id="1">
    <w:p w:rsidRPr="000F714C" w:rsidR="0014564B" w:rsidP="000F714C" w:rsidRDefault="0014564B" w14:paraId="054C0AE0" w14:textId="3745C5F5">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tgtFrame="_blank" w:history="1" r:id="rId1">
        <w:r w:rsidRPr="000F714C">
          <w:rPr>
            <w:rStyle w:val="normaltextrun"/>
            <w:rFonts w:ascii="Arial" w:hAnsi="Arial" w:cs="Arial"/>
            <w:color w:val="0563C1"/>
            <w:sz w:val="16"/>
            <w:szCs w:val="16"/>
            <w:u w:val="single"/>
          </w:rPr>
          <w:t>https://www.bloomberg.com/graphics/ceo-pay-ratio/</w:t>
        </w:r>
      </w:hyperlink>
      <w:r w:rsidRPr="000F714C">
        <w:rPr>
          <w:rStyle w:val="eop"/>
          <w:rFonts w:ascii="Arial" w:hAnsi="Arial" w:cs="Arial"/>
          <w:sz w:val="16"/>
          <w:szCs w:val="16"/>
        </w:rPr>
        <w:t> </w:t>
      </w:r>
    </w:p>
  </w:endnote>
  <w:endnote w:id="2">
    <w:p w:rsidRPr="000F714C" w:rsidR="0014564B" w:rsidP="000F714C" w:rsidRDefault="0014564B" w14:paraId="15046531" w14:textId="0AC809B8">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2">
        <w:r w:rsidRPr="000F714C">
          <w:rPr>
            <w:rStyle w:val="Hipervnculo"/>
            <w:rFonts w:ascii="Arial" w:hAnsi="Arial" w:cs="Arial"/>
            <w:sz w:val="16"/>
            <w:szCs w:val="16"/>
          </w:rPr>
          <w:t>https://highpaycentre.org/uk-pay-database/</w:t>
        </w:r>
      </w:hyperlink>
    </w:p>
  </w:endnote>
  <w:endnote w:id="3">
    <w:p w:rsidRPr="000F714C" w:rsidR="0014564B" w:rsidP="000F714C" w:rsidRDefault="0014564B" w14:paraId="2BC89FD3" w14:textId="372996C9">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3">
        <w:r w:rsidRPr="000F714C">
          <w:rPr>
            <w:rStyle w:val="Hipervnculo"/>
            <w:rFonts w:ascii="Arial" w:hAnsi="Arial" w:cs="Arial"/>
            <w:sz w:val="16"/>
            <w:szCs w:val="16"/>
          </w:rPr>
          <w:t>https://www.worldbank.org/en/research/brief/inflation-database</w:t>
        </w:r>
      </w:hyperlink>
    </w:p>
  </w:endnote>
  <w:endnote w:id="4">
    <w:p w:rsidRPr="000F714C" w:rsidR="00FA40D9" w:rsidP="000F714C" w:rsidRDefault="00FA40D9" w14:paraId="41D4EE5D" w14:textId="24C867E0">
      <w:pPr>
        <w:rPr>
          <w:rFonts w:ascii="Arial" w:hAnsi="Arial" w:eastAsia="Times New Roman" w:cs="Arial"/>
          <w:color w:val="000000"/>
          <w:sz w:val="16"/>
          <w:szCs w:val="16"/>
          <w:lang w:val="en-GB" w:eastAsia="en-GB"/>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4">
        <w:r w:rsidRPr="000F714C" w:rsidR="00D627AA">
          <w:rPr>
            <w:rStyle w:val="Hipervnculo"/>
            <w:rFonts w:ascii="Arial" w:hAnsi="Arial" w:eastAsia="Times New Roman" w:cs="Arial"/>
            <w:sz w:val="16"/>
            <w:szCs w:val="16"/>
            <w:lang w:val="en-GB" w:eastAsia="en-GB"/>
          </w:rPr>
          <w:t>https://www.livemint.com/news/india/average-salary-of-senior-executives-in-india-rise-by-nearly-9-1-in-2023-aon-11675069741294.html</w:t>
        </w:r>
      </w:hyperlink>
    </w:p>
  </w:endnote>
  <w:endnote w:id="5">
    <w:p w:rsidRPr="000F714C" w:rsidR="00FA40D9" w:rsidP="000F714C" w:rsidRDefault="00FA40D9" w14:paraId="3C112319" w14:textId="59F391DA">
      <w:pPr>
        <w:pStyle w:val="Textonotaalfinal"/>
        <w:rPr>
          <w:rFonts w:ascii="Arial" w:hAnsi="Arial" w:cs="Arial"/>
          <w:sz w:val="16"/>
          <w:szCs w:val="16"/>
          <w:lang w:val="en-GB"/>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5">
        <w:r w:rsidRPr="000F4AFB" w:rsidR="000F714C">
          <w:rPr>
            <w:rStyle w:val="Hipervnculo"/>
            <w:rFonts w:ascii="Arial" w:hAnsi="Arial" w:cs="Arial"/>
            <w:sz w:val="16"/>
            <w:szCs w:val="16"/>
          </w:rPr>
          <w:t>https://m.rbi.org.in/scripts/AnnualPublications.aspx?head=Handbook+of+Statistics+on+Indian+States</w:t>
        </w:r>
      </w:hyperlink>
      <w:r w:rsidR="000F714C">
        <w:rPr>
          <w:rStyle w:val="normaltextrun"/>
          <w:rFonts w:ascii="Arial" w:hAnsi="Arial" w:cs="Arial"/>
          <w:sz w:val="16"/>
          <w:szCs w:val="16"/>
        </w:rPr>
        <w:t xml:space="preserve"> </w:t>
      </w:r>
    </w:p>
  </w:endnote>
  <w:endnote w:id="6">
    <w:p w:rsidRPr="000F714C" w:rsidR="00FA40D9" w:rsidP="000F714C" w:rsidRDefault="00FA40D9" w14:paraId="37341CF6" w14:textId="52C682D0">
      <w:pPr>
        <w:rPr>
          <w:rFonts w:ascii="Arial" w:hAnsi="Arial" w:eastAsia="Times New Roman" w:cs="Arial"/>
          <w:color w:val="000000"/>
          <w:sz w:val="16"/>
          <w:szCs w:val="16"/>
          <w:lang w:val="en-GB" w:eastAsia="en-GB"/>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6">
        <w:r w:rsidRPr="000F4AFB" w:rsidR="000F714C">
          <w:rPr>
            <w:rStyle w:val="Hipervnculo"/>
            <w:rFonts w:ascii="Arial" w:hAnsi="Arial" w:eastAsia="Times New Roman" w:cs="Arial"/>
            <w:sz w:val="16"/>
            <w:szCs w:val="16"/>
            <w:lang w:val="en-GB" w:eastAsia="en-GB"/>
          </w:rPr>
          <w:t>https://www.pwc.co.za/en/assets/pdf/executive-directors-report-2022.pdf</w:t>
        </w:r>
      </w:hyperlink>
      <w:r w:rsidR="000F714C">
        <w:rPr>
          <w:rFonts w:ascii="Arial" w:hAnsi="Arial" w:eastAsia="Times New Roman" w:cs="Arial"/>
          <w:color w:val="000000"/>
          <w:sz w:val="16"/>
          <w:szCs w:val="16"/>
          <w:lang w:val="en-GB" w:eastAsia="en-GB"/>
        </w:rPr>
        <w:t xml:space="preserve"> &amp;</w:t>
      </w:r>
      <w:r w:rsidRPr="000F714C">
        <w:rPr>
          <w:rFonts w:ascii="Arial" w:hAnsi="Arial" w:eastAsia="Times New Roman" w:cs="Arial"/>
          <w:color w:val="000000"/>
          <w:sz w:val="16"/>
          <w:szCs w:val="16"/>
          <w:lang w:val="en-GB" w:eastAsia="en-GB"/>
        </w:rPr>
        <w:t xml:space="preserve"> </w:t>
      </w:r>
      <w:hyperlink w:history="1" r:id="rId7">
        <w:r w:rsidRPr="000F4AFB" w:rsidR="000F714C">
          <w:rPr>
            <w:rStyle w:val="Hipervnculo"/>
            <w:rFonts w:ascii="Arial" w:hAnsi="Arial" w:eastAsia="Times New Roman" w:cs="Arial"/>
            <w:sz w:val="16"/>
            <w:szCs w:val="16"/>
            <w:lang w:val="en-GB" w:eastAsia="en-GB"/>
          </w:rPr>
          <w:t>https://www.pwc.co.za/en/assets/pdf/executive-directors-report-2021.pdf</w:t>
        </w:r>
      </w:hyperlink>
      <w:r w:rsidR="000F714C">
        <w:rPr>
          <w:rFonts w:ascii="Arial" w:hAnsi="Arial" w:eastAsia="Times New Roman" w:cs="Arial"/>
          <w:color w:val="000000"/>
          <w:sz w:val="16"/>
          <w:szCs w:val="16"/>
          <w:lang w:val="en-GB" w:eastAsia="en-GB"/>
        </w:rPr>
        <w:t xml:space="preserve"> </w:t>
      </w:r>
    </w:p>
  </w:endnote>
  <w:endnote w:id="7">
    <w:p w:rsidRPr="000F714C" w:rsidR="00FA40D9" w:rsidP="000F714C" w:rsidRDefault="00FA40D9" w14:paraId="64E57ECE" w14:textId="114F1315">
      <w:pPr>
        <w:pStyle w:val="Textonotaalfinal"/>
        <w:rPr>
          <w:rFonts w:ascii="Arial" w:hAnsi="Arial" w:cs="Arial"/>
          <w:sz w:val="16"/>
          <w:szCs w:val="16"/>
          <w:lang w:val="en-GB"/>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8">
        <w:r w:rsidRPr="000F714C">
          <w:rPr>
            <w:rStyle w:val="Hipervnculo"/>
            <w:rFonts w:ascii="Arial" w:hAnsi="Arial" w:cs="Arial"/>
            <w:sz w:val="16"/>
            <w:szCs w:val="16"/>
          </w:rPr>
          <w:t>https://www.ilo.org/infostories/getmedia/534d9c07-5870-4b6e-85a4-ccda41e77c0f/globalwagereport-2022-23-data.xlsx</w:t>
        </w:r>
      </w:hyperlink>
      <w:r w:rsidRPr="000F714C">
        <w:rPr>
          <w:rFonts w:ascii="Arial" w:hAnsi="Arial" w:cs="Arial"/>
          <w:sz w:val="16"/>
          <w:szCs w:val="16"/>
        </w:rPr>
        <w:t xml:space="preserve"> </w:t>
      </w:r>
    </w:p>
  </w:endnote>
  <w:endnote w:id="8">
    <w:p w:rsidRPr="000F714C" w:rsidR="00726537" w:rsidP="000F714C" w:rsidRDefault="00726537" w14:paraId="3B258B13" w14:textId="3AD9A2B0">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r w:rsidRPr="282314C8" w:rsidR="282314C8">
        <w:rPr>
          <w:rFonts w:ascii="Arial" w:hAnsi="Arial" w:cs="Arial"/>
          <w:sz w:val="16"/>
          <w:szCs w:val="16"/>
        </w:rPr>
        <w:t>https://ec.europa.eu/eurostat/databrowser/bookmark/c9d31c38-7a91-4b37-97e2-fe7bfcb34e66?lang=en</w:t>
      </w:r>
    </w:p>
  </w:endnote>
  <w:endnote w:id="9">
    <w:p w:rsidRPr="000F714C" w:rsidR="00726537" w:rsidP="000F714C" w:rsidRDefault="00726537" w14:paraId="61A00334" w14:textId="0406F33B">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10">
        <w:r w:rsidRPr="000F714C">
          <w:rPr>
            <w:rStyle w:val="Hipervnculo"/>
            <w:rFonts w:ascii="Arial" w:hAnsi="Arial" w:cs="Arial"/>
            <w:sz w:val="16"/>
            <w:szCs w:val="16"/>
          </w:rPr>
          <w:t>https://fiscaldata.treasury.gov/datasets/treasury-reporting-rates-exchange/treasury-reporting-rates-of-exchange</w:t>
        </w:r>
      </w:hyperlink>
    </w:p>
  </w:endnote>
  <w:endnote w:id="10">
    <w:p w:rsidRPr="000F714C" w:rsidR="00726537" w:rsidP="000F714C" w:rsidRDefault="00726537" w14:paraId="15FE6A75" w14:textId="490E932F">
      <w:pPr>
        <w:pStyle w:val="Textonotaalfinal"/>
        <w:rPr>
          <w:rFonts w:ascii="Arial" w:hAnsi="Arial" w:cs="Arial"/>
          <w:sz w:val="16"/>
          <w:szCs w:val="16"/>
          <w:lang w:val="en-GB"/>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11">
        <w:r w:rsidRPr="000F714C">
          <w:rPr>
            <w:rStyle w:val="Hipervnculo"/>
            <w:rFonts w:ascii="Arial" w:hAnsi="Arial" w:cs="Arial"/>
            <w:sz w:val="16"/>
            <w:szCs w:val="16"/>
          </w:rPr>
          <w:t>https://www.ilo.org/shinyapps/bulkexplorer37/?lang=en&amp;id=EMP_TEMP_SEX_AGE_NB_A</w:t>
        </w:r>
      </w:hyperlink>
    </w:p>
  </w:endnote>
  <w:endnote w:id="11">
    <w:p w:rsidRPr="000F714C" w:rsidR="00726537" w:rsidP="000F714C" w:rsidRDefault="00726537" w14:paraId="18569FC5" w14:textId="1195A532">
      <w:pPr>
        <w:pStyle w:val="Textonotaalfinal"/>
        <w:rPr>
          <w:rFonts w:ascii="Arial" w:hAnsi="Arial" w:eastAsia="Times New Roman" w:cs="Arial"/>
          <w:color w:val="000000"/>
          <w:sz w:val="16"/>
          <w:szCs w:val="16"/>
          <w:lang w:eastAsia="en-GB"/>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12">
        <w:r w:rsidRPr="000F714C">
          <w:rPr>
            <w:rStyle w:val="Hipervnculo"/>
            <w:rFonts w:ascii="Arial" w:hAnsi="Arial" w:eastAsia="Times New Roman" w:cs="Arial"/>
            <w:sz w:val="16"/>
            <w:szCs w:val="16"/>
            <w:lang w:eastAsia="en-GB"/>
          </w:rPr>
          <w:t>https://data.oecd.org/emp/hours-worked.htm</w:t>
        </w:r>
      </w:hyperlink>
    </w:p>
  </w:endnote>
  <w:endnote w:id="12">
    <w:p w:rsidRPr="000F714C" w:rsidR="00726537" w:rsidP="000F714C" w:rsidRDefault="00726537" w14:paraId="3DB2F2E3" w14:textId="19ADC21A">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13">
        <w:r w:rsidRPr="000F714C">
          <w:rPr>
            <w:rStyle w:val="Hipervnculo"/>
            <w:rFonts w:ascii="Arial" w:hAnsi="Arial" w:cs="Arial"/>
            <w:sz w:val="16"/>
            <w:szCs w:val="16"/>
          </w:rPr>
          <w:t>https://www.worldbank.org/en/research/brief/inflation-database</w:t>
        </w:r>
      </w:hyperlink>
    </w:p>
  </w:endnote>
  <w:endnote w:id="13">
    <w:p w:rsidRPr="000F714C" w:rsidR="00AF70F9" w:rsidP="000F714C" w:rsidRDefault="00AF70F9" w14:paraId="2CC0B6B1" w14:textId="602AA3D2">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14">
        <w:r w:rsidRPr="000F714C">
          <w:rPr>
            <w:rStyle w:val="Hipervnculo"/>
            <w:rFonts w:ascii="Arial" w:hAnsi="Arial" w:cs="Arial"/>
            <w:sz w:val="16"/>
            <w:szCs w:val="16"/>
          </w:rPr>
          <w:t>https://oxfamilibrary.openrepository.com/bitstream/handle/10546/620928/bp-time-to-care-inequality-200120-en.pdf?sequence=36</w:t>
        </w:r>
      </w:hyperlink>
    </w:p>
  </w:endnote>
  <w:endnote w:id="14">
    <w:p w:rsidRPr="000F714C" w:rsidR="009B207B" w:rsidP="000F714C" w:rsidRDefault="009B207B" w14:paraId="7BE288C8" w14:textId="75D3F9FF">
      <w:pPr>
        <w:pStyle w:val="Textonotaalfinal"/>
        <w:rPr>
          <w:rFonts w:ascii="Arial" w:hAnsi="Arial" w:cs="Arial"/>
          <w:sz w:val="16"/>
          <w:szCs w:val="16"/>
        </w:rPr>
      </w:pPr>
      <w:r w:rsidRPr="000F714C">
        <w:rPr>
          <w:rStyle w:val="Refdenotaalfinal"/>
          <w:rFonts w:ascii="Arial" w:hAnsi="Arial" w:cs="Arial"/>
          <w:sz w:val="16"/>
          <w:szCs w:val="16"/>
        </w:rPr>
        <w:endnoteRef/>
      </w:r>
      <w:r w:rsidRPr="000F714C">
        <w:rPr>
          <w:rFonts w:ascii="Arial" w:hAnsi="Arial" w:cs="Arial"/>
          <w:sz w:val="16"/>
          <w:szCs w:val="16"/>
        </w:rPr>
        <w:t xml:space="preserve"> </w:t>
      </w:r>
      <w:hyperlink w:history="1" r:id="rId15">
        <w:r w:rsidRPr="000F714C">
          <w:rPr>
            <w:rStyle w:val="Hipervnculo"/>
            <w:rFonts w:ascii="Arial" w:hAnsi="Arial" w:cs="Arial"/>
            <w:sz w:val="16"/>
            <w:szCs w:val="16"/>
          </w:rPr>
          <w:t>https://www.janushenderson.com/en-gb/investor/insights/global-dividend-index/</w:t>
        </w:r>
      </w:hyperlink>
    </w:p>
    <w:p w:rsidRPr="009B207B" w:rsidR="009B207B" w:rsidRDefault="009B207B" w14:paraId="6351382C" w14:textId="77777777">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0A" w:rsidP="0014564B" w:rsidRDefault="00B2470A" w14:paraId="08790660" w14:textId="77777777">
      <w:r>
        <w:separator/>
      </w:r>
    </w:p>
  </w:footnote>
  <w:footnote w:type="continuationSeparator" w:id="0">
    <w:p w:rsidR="00B2470A" w:rsidP="0014564B" w:rsidRDefault="00B2470A" w14:paraId="72449267"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xNDEztzAA0QaWSjpKwanFxZn5eSAFhrUAcJzIpywAAAA="/>
  </w:docVars>
  <w:rsids>
    <w:rsidRoot w:val="00D1010D"/>
    <w:rsid w:val="000665A4"/>
    <w:rsid w:val="000F714C"/>
    <w:rsid w:val="0014564B"/>
    <w:rsid w:val="00150813"/>
    <w:rsid w:val="005E1666"/>
    <w:rsid w:val="006561C5"/>
    <w:rsid w:val="00726537"/>
    <w:rsid w:val="007F0374"/>
    <w:rsid w:val="009B207B"/>
    <w:rsid w:val="00A70524"/>
    <w:rsid w:val="00AF70F9"/>
    <w:rsid w:val="00B2470A"/>
    <w:rsid w:val="00B731CD"/>
    <w:rsid w:val="00BC6BA0"/>
    <w:rsid w:val="00D1010D"/>
    <w:rsid w:val="00D627AA"/>
    <w:rsid w:val="00EE6E42"/>
    <w:rsid w:val="00FA40D9"/>
    <w:rsid w:val="11860DEB"/>
    <w:rsid w:val="2585D513"/>
    <w:rsid w:val="282314C8"/>
    <w:rsid w:val="684C28F0"/>
    <w:rsid w:val="6FB9A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14564B"/>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Fuentedeprrafopredeter"/>
    <w:rsid w:val="0014564B"/>
  </w:style>
  <w:style w:type="character" w:styleId="eop" w:customStyle="1">
    <w:name w:val="eop"/>
    <w:basedOn w:val="Fuentedeprrafopredeter"/>
    <w:rsid w:val="0014564B"/>
  </w:style>
  <w:style w:type="character" w:styleId="spellingerror" w:customStyle="1">
    <w:name w:val="spellingerror"/>
    <w:basedOn w:val="Fuentedeprrafopredeter"/>
    <w:rsid w:val="0014564B"/>
  </w:style>
  <w:style w:type="character" w:styleId="contextualspellingandgrammarerror" w:customStyle="1">
    <w:name w:val="contextualspellingandgrammarerror"/>
    <w:basedOn w:val="Fuentedeprrafopredeter"/>
    <w:rsid w:val="0014564B"/>
  </w:style>
  <w:style w:type="character" w:styleId="scxw81815276" w:customStyle="1">
    <w:name w:val="scxw81815276"/>
    <w:basedOn w:val="Fuentedeprrafopredeter"/>
    <w:rsid w:val="0014564B"/>
  </w:style>
  <w:style w:type="character" w:styleId="superscript" w:customStyle="1">
    <w:name w:val="superscript"/>
    <w:basedOn w:val="Fuentedeprrafopredeter"/>
    <w:rsid w:val="0014564B"/>
  </w:style>
  <w:style w:type="paragraph" w:styleId="Textonotaalfinal">
    <w:name w:val="endnote text"/>
    <w:basedOn w:val="Normal"/>
    <w:link w:val="TextonotaalfinalCar"/>
    <w:uiPriority w:val="99"/>
    <w:semiHidden/>
    <w:unhideWhenUsed/>
    <w:rsid w:val="0014564B"/>
    <w:rPr>
      <w:sz w:val="20"/>
      <w:szCs w:val="20"/>
    </w:rPr>
  </w:style>
  <w:style w:type="character" w:styleId="TextonotaalfinalCar" w:customStyle="1">
    <w:name w:val="Texto nota al final Car"/>
    <w:basedOn w:val="Fuentedeprrafopredeter"/>
    <w:link w:val="Textonotaalfinal"/>
    <w:uiPriority w:val="99"/>
    <w:semiHidden/>
    <w:rsid w:val="0014564B"/>
    <w:rPr>
      <w:sz w:val="20"/>
      <w:szCs w:val="20"/>
    </w:rPr>
  </w:style>
  <w:style w:type="character" w:styleId="Refdenotaalfinal">
    <w:name w:val="endnote reference"/>
    <w:basedOn w:val="Fuentedeprrafopredeter"/>
    <w:uiPriority w:val="99"/>
    <w:semiHidden/>
    <w:unhideWhenUsed/>
    <w:rsid w:val="0014564B"/>
    <w:rPr>
      <w:vertAlign w:val="superscript"/>
    </w:rPr>
  </w:style>
  <w:style w:type="character" w:styleId="Hipervnculo">
    <w:name w:val="Hyperlink"/>
    <w:basedOn w:val="Fuentedeprrafopredeter"/>
    <w:uiPriority w:val="99"/>
    <w:unhideWhenUsed/>
    <w:rsid w:val="0014564B"/>
    <w:rPr>
      <w:color w:val="0563C1" w:themeColor="hyperlink"/>
      <w:u w:val="single"/>
    </w:rPr>
  </w:style>
  <w:style w:type="character" w:styleId="UnresolvedMention" w:customStyle="1">
    <w:name w:val="Unresolved Mention"/>
    <w:basedOn w:val="Fuentedeprrafopredeter"/>
    <w:uiPriority w:val="99"/>
    <w:rsid w:val="0014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1276">
      <w:bodyDiv w:val="1"/>
      <w:marLeft w:val="0"/>
      <w:marRight w:val="0"/>
      <w:marTop w:val="0"/>
      <w:marBottom w:val="0"/>
      <w:divBdr>
        <w:top w:val="none" w:sz="0" w:space="0" w:color="auto"/>
        <w:left w:val="none" w:sz="0" w:space="0" w:color="auto"/>
        <w:bottom w:val="none" w:sz="0" w:space="0" w:color="auto"/>
        <w:right w:val="none" w:sz="0" w:space="0" w:color="auto"/>
      </w:divBdr>
    </w:div>
    <w:div w:id="1414817524">
      <w:bodyDiv w:val="1"/>
      <w:marLeft w:val="0"/>
      <w:marRight w:val="0"/>
      <w:marTop w:val="0"/>
      <w:marBottom w:val="0"/>
      <w:divBdr>
        <w:top w:val="none" w:sz="0" w:space="0" w:color="auto"/>
        <w:left w:val="none" w:sz="0" w:space="0" w:color="auto"/>
        <w:bottom w:val="none" w:sz="0" w:space="0" w:color="auto"/>
        <w:right w:val="none" w:sz="0" w:space="0" w:color="auto"/>
      </w:divBdr>
      <w:divsChild>
        <w:div w:id="49306287">
          <w:marLeft w:val="0"/>
          <w:marRight w:val="0"/>
          <w:marTop w:val="0"/>
          <w:marBottom w:val="0"/>
          <w:divBdr>
            <w:top w:val="none" w:sz="0" w:space="0" w:color="auto"/>
            <w:left w:val="none" w:sz="0" w:space="0" w:color="auto"/>
            <w:bottom w:val="none" w:sz="0" w:space="0" w:color="auto"/>
            <w:right w:val="none" w:sz="0" w:space="0" w:color="auto"/>
          </w:divBdr>
        </w:div>
        <w:div w:id="332923782">
          <w:marLeft w:val="0"/>
          <w:marRight w:val="0"/>
          <w:marTop w:val="0"/>
          <w:marBottom w:val="0"/>
          <w:divBdr>
            <w:top w:val="none" w:sz="0" w:space="0" w:color="auto"/>
            <w:left w:val="none" w:sz="0" w:space="0" w:color="auto"/>
            <w:bottom w:val="none" w:sz="0" w:space="0" w:color="auto"/>
            <w:right w:val="none" w:sz="0" w:space="0" w:color="auto"/>
          </w:divBdr>
        </w:div>
        <w:div w:id="613750415">
          <w:marLeft w:val="0"/>
          <w:marRight w:val="0"/>
          <w:marTop w:val="0"/>
          <w:marBottom w:val="0"/>
          <w:divBdr>
            <w:top w:val="none" w:sz="0" w:space="0" w:color="auto"/>
            <w:left w:val="none" w:sz="0" w:space="0" w:color="auto"/>
            <w:bottom w:val="none" w:sz="0" w:space="0" w:color="auto"/>
            <w:right w:val="none" w:sz="0" w:space="0" w:color="auto"/>
          </w:divBdr>
        </w:div>
        <w:div w:id="128403059">
          <w:marLeft w:val="0"/>
          <w:marRight w:val="0"/>
          <w:marTop w:val="0"/>
          <w:marBottom w:val="0"/>
          <w:divBdr>
            <w:top w:val="none" w:sz="0" w:space="0" w:color="auto"/>
            <w:left w:val="none" w:sz="0" w:space="0" w:color="auto"/>
            <w:bottom w:val="none" w:sz="0" w:space="0" w:color="auto"/>
            <w:right w:val="none" w:sz="0" w:space="0" w:color="auto"/>
          </w:divBdr>
        </w:div>
        <w:div w:id="890264670">
          <w:marLeft w:val="0"/>
          <w:marRight w:val="0"/>
          <w:marTop w:val="0"/>
          <w:marBottom w:val="0"/>
          <w:divBdr>
            <w:top w:val="none" w:sz="0" w:space="0" w:color="auto"/>
            <w:left w:val="none" w:sz="0" w:space="0" w:color="auto"/>
            <w:bottom w:val="none" w:sz="0" w:space="0" w:color="auto"/>
            <w:right w:val="none" w:sz="0" w:space="0" w:color="auto"/>
          </w:divBdr>
        </w:div>
        <w:div w:id="916208127">
          <w:marLeft w:val="0"/>
          <w:marRight w:val="0"/>
          <w:marTop w:val="0"/>
          <w:marBottom w:val="0"/>
          <w:divBdr>
            <w:top w:val="none" w:sz="0" w:space="0" w:color="auto"/>
            <w:left w:val="none" w:sz="0" w:space="0" w:color="auto"/>
            <w:bottom w:val="none" w:sz="0" w:space="0" w:color="auto"/>
            <w:right w:val="none" w:sz="0" w:space="0" w:color="auto"/>
          </w:divBdr>
        </w:div>
        <w:div w:id="392970144">
          <w:marLeft w:val="0"/>
          <w:marRight w:val="0"/>
          <w:marTop w:val="0"/>
          <w:marBottom w:val="0"/>
          <w:divBdr>
            <w:top w:val="none" w:sz="0" w:space="0" w:color="auto"/>
            <w:left w:val="none" w:sz="0" w:space="0" w:color="auto"/>
            <w:bottom w:val="none" w:sz="0" w:space="0" w:color="auto"/>
            <w:right w:val="none" w:sz="0" w:space="0" w:color="auto"/>
          </w:divBdr>
        </w:div>
        <w:div w:id="1944680834">
          <w:marLeft w:val="0"/>
          <w:marRight w:val="0"/>
          <w:marTop w:val="0"/>
          <w:marBottom w:val="0"/>
          <w:divBdr>
            <w:top w:val="none" w:sz="0" w:space="0" w:color="auto"/>
            <w:left w:val="none" w:sz="0" w:space="0" w:color="auto"/>
            <w:bottom w:val="none" w:sz="0" w:space="0" w:color="auto"/>
            <w:right w:val="none" w:sz="0" w:space="0" w:color="auto"/>
          </w:divBdr>
        </w:div>
        <w:div w:id="677317902">
          <w:marLeft w:val="0"/>
          <w:marRight w:val="0"/>
          <w:marTop w:val="0"/>
          <w:marBottom w:val="0"/>
          <w:divBdr>
            <w:top w:val="none" w:sz="0" w:space="0" w:color="auto"/>
            <w:left w:val="none" w:sz="0" w:space="0" w:color="auto"/>
            <w:bottom w:val="none" w:sz="0" w:space="0" w:color="auto"/>
            <w:right w:val="none" w:sz="0" w:space="0" w:color="auto"/>
          </w:divBdr>
        </w:div>
      </w:divsChild>
    </w:div>
    <w:div w:id="1523587870">
      <w:bodyDiv w:val="1"/>
      <w:marLeft w:val="0"/>
      <w:marRight w:val="0"/>
      <w:marTop w:val="0"/>
      <w:marBottom w:val="0"/>
      <w:divBdr>
        <w:top w:val="none" w:sz="0" w:space="0" w:color="auto"/>
        <w:left w:val="none" w:sz="0" w:space="0" w:color="auto"/>
        <w:bottom w:val="none" w:sz="0" w:space="0" w:color="auto"/>
        <w:right w:val="none" w:sz="0" w:space="0" w:color="auto"/>
      </w:divBdr>
    </w:div>
    <w:div w:id="1744795608">
      <w:bodyDiv w:val="1"/>
      <w:marLeft w:val="0"/>
      <w:marRight w:val="0"/>
      <w:marTop w:val="0"/>
      <w:marBottom w:val="0"/>
      <w:divBdr>
        <w:top w:val="none" w:sz="0" w:space="0" w:color="auto"/>
        <w:left w:val="none" w:sz="0" w:space="0" w:color="auto"/>
        <w:bottom w:val="none" w:sz="0" w:space="0" w:color="auto"/>
        <w:right w:val="none" w:sz="0" w:space="0" w:color="auto"/>
      </w:divBdr>
    </w:div>
    <w:div w:id="1872650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oxfam.org/en/research/time-care"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endnotes.xml.rels>&#65279;<?xml version="1.0" encoding="utf-8"?><Relationships xmlns="http://schemas.openxmlformats.org/package/2006/relationships"><Relationship Type="http://schemas.openxmlformats.org/officeDocument/2006/relationships/hyperlink" Target="https://www.ilo.org/infostories/getmedia/534d9c07-5870-4b6e-85a4-ccda41e77c0f/globalwagereport-2022-23-data.xlsx" TargetMode="External" Id="rId8" /><Relationship Type="http://schemas.openxmlformats.org/officeDocument/2006/relationships/hyperlink" Target="https://www.worldbank.org/en/research/brief/inflation-database" TargetMode="External" Id="rId13" /><Relationship Type="http://schemas.openxmlformats.org/officeDocument/2006/relationships/hyperlink" Target="https://www.worldbank.org/en/research/brief/inflation-database" TargetMode="External" Id="rId3" /><Relationship Type="http://schemas.openxmlformats.org/officeDocument/2006/relationships/hyperlink" Target="https://www.pwc.co.za/en/assets/pdf/executive-directors-report-2021.pdf" TargetMode="External" Id="rId7" /><Relationship Type="http://schemas.openxmlformats.org/officeDocument/2006/relationships/hyperlink" Target="https://data.oecd.org/emp/hours-worked.htm" TargetMode="External" Id="rId12" /><Relationship Type="http://schemas.openxmlformats.org/officeDocument/2006/relationships/hyperlink" Target="https://highpaycentre.org/uk-pay-database/" TargetMode="External" Id="rId2" /><Relationship Type="http://schemas.openxmlformats.org/officeDocument/2006/relationships/hyperlink" Target="https://www.bloomberg.com/graphics/ceo-pay-ratio/" TargetMode="External" Id="rId1" /><Relationship Type="http://schemas.openxmlformats.org/officeDocument/2006/relationships/hyperlink" Target="https://www.pwc.co.za/en/assets/pdf/executive-directors-report-2022.pdf" TargetMode="External" Id="rId6" /><Relationship Type="http://schemas.openxmlformats.org/officeDocument/2006/relationships/hyperlink" Target="https://www.ilo.org/shinyapps/bulkexplorer37/?lang=en&amp;id=EMP_TEMP_SEX_AGE_NB_A" TargetMode="External" Id="rId11" /><Relationship Type="http://schemas.openxmlformats.org/officeDocument/2006/relationships/hyperlink" Target="https://m.rbi.org.in/scripts/AnnualPublications.aspx?head=Handbook+of+Statistics+on+Indian+States" TargetMode="External" Id="rId5" /><Relationship Type="http://schemas.openxmlformats.org/officeDocument/2006/relationships/hyperlink" Target="https://www.janushenderson.com/en-gb/investor/insights/global-dividend-index/" TargetMode="External" Id="rId15" /><Relationship Type="http://schemas.openxmlformats.org/officeDocument/2006/relationships/hyperlink" Target="https://fiscaldata.treasury.gov/datasets/treasury-reporting-rates-exchange/treasury-reporting-rates-of-exchange" TargetMode="External" Id="rId10" /><Relationship Type="http://schemas.openxmlformats.org/officeDocument/2006/relationships/hyperlink" Target="https://www.livemint.com/news/india/average-salary-of-senior-executives-in-india-rise-by-nearly-9-1-in-2023-aon-11675069741294.html" TargetMode="External" Id="rId4" /><Relationship Type="http://schemas.openxmlformats.org/officeDocument/2006/relationships/hyperlink" Target="https://oxfamilibrary.openrepository.com/bitstream/handle/10546/620928/bp-time-to-care-inequality-200120-en.pdf?sequence=36"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80A6-A1FD-462B-82D6-B5090EE09B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 Maitland</lastModifiedBy>
  <revision>9</revision>
  <dcterms:created xsi:type="dcterms:W3CDTF">2023-04-24T15:59:00.0000000Z</dcterms:created>
  <dcterms:modified xsi:type="dcterms:W3CDTF">2023-04-27T14:30:19.6422854Z</dcterms:modified>
</coreProperties>
</file>